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w="http://schemas.openxmlformats.org/wordprocessingml/2006/main" xmlns:mc="http://schemas.openxmlformats.org/markup-compatibility/2006" xmlns:a="http://schemas.openxmlformats.org/drawingml/2006/main" xmlns:pic="http://schemas.openxmlformats.org/drawingml/2006/picture" xmlns:r="http://schemas.openxmlformats.org/officeDocument/2006/relationships" xmlns:w14="http://schemas.microsoft.com/office/word/2010/wordml" xmlns:wp="http://schemas.openxmlformats.org/drawingml/2006/wordprocessingDrawing" mc:Ignorable="w14">
  <w:body>
    <w:p w14:paraId="03000000">
      <w:pPr>
        <w:pStyle w:val="Style_2"/>
        <w:spacing w:before="0" w:line="240" w:lineRule="auto"/>
        <w:ind w:right="60"/>
        <w:rPr>
          <w:b w:val="0"/>
          <w:sz w:val="28"/>
        </w:rPr>
      </w:pPr>
      <w:r>
        <w:rPr>
          <w:sz w:val="28"/>
        </w:rPr>
        <w:t xml:space="preserve">                                                                                      </w:t>
      </w:r>
      <w:r>
        <w:rPr>
          <w:b w:val="0"/>
          <w:sz w:val="28"/>
        </w:rPr>
        <w:t>УТВЕРЖДЕНА</w:t>
      </w:r>
    </w:p>
    <w:p w14:paraId="04000000">
      <w:pPr>
        <w:pStyle w:val="Style_2"/>
        <w:spacing w:before="0" w:line="240" w:lineRule="auto"/>
        <w:ind w:right="60"/>
        <w:rPr>
          <w:b w:val="0"/>
          <w:sz w:val="28"/>
        </w:rPr>
      </w:pPr>
      <w:r>
        <w:rPr>
          <w:b w:val="0"/>
          <w:sz w:val="28"/>
        </w:rPr>
        <w:t xml:space="preserve">                                                                                      приказом Минтранса России</w:t>
      </w:r>
    </w:p>
    <w:p w14:paraId="05000000">
      <w:pPr>
        <w:pStyle w:val="Style_2"/>
        <w:spacing w:before="0" w:line="240" w:lineRule="auto"/>
        <w:ind w:right="60"/>
        <w:rPr>
          <w:b w:val="0"/>
          <w:sz w:val="28"/>
        </w:rPr>
      </w:pPr>
      <w:r>
        <w:rPr>
          <w:b w:val="0"/>
          <w:sz w:val="28"/>
        </w:rPr>
        <w:t xml:space="preserve">                                                                                от _____________ № ______</w:t>
      </w:r>
    </w:p>
    <w:p w14:paraId="06000000">
      <w:pPr>
        <w:pStyle w:val="Style_2"/>
        <w:spacing w:before="0" w:line="240" w:lineRule="auto"/>
        <w:ind w:right="60"/>
        <w:rPr>
          <w:b w:val="0"/>
          <w:sz w:val="28"/>
        </w:rPr>
      </w:pPr>
      <w:r>
        <w:rPr>
          <w:sz w:val="28"/>
        </w:rPr>
        <w:t xml:space="preserve">                                                                             </w:t>
      </w:r>
    </w:p>
    <w:p w14:paraId="07000000">
      <w:pPr>
        <w:pStyle w:val="Style_2"/>
        <w:spacing w:before="0" w:line="240" w:lineRule="auto"/>
        <w:ind w:right="60"/>
        <w:rPr>
          <w:sz w:val="28"/>
        </w:rPr>
      </w:pPr>
    </w:p>
    <w:p w14:paraId="08000000">
      <w:pPr>
        <w:pStyle w:val="Style_2"/>
        <w:spacing w:before="0" w:line="240" w:lineRule="auto"/>
        <w:ind w:right="60"/>
        <w:rPr>
          <w:sz w:val="28"/>
        </w:rPr>
      </w:pPr>
      <w:r>
        <w:rPr>
          <w:sz w:val="28"/>
        </w:rPr>
        <w:t>ТИПОВАЯ ФОРМА ДОГОВОРА</w:t>
      </w:r>
    </w:p>
    <w:p w14:paraId="09000000">
      <w:pPr>
        <w:pStyle w:val="Style_2"/>
        <w:spacing w:before="0" w:line="240" w:lineRule="auto"/>
        <w:ind w:right="60"/>
        <w:rPr>
          <w:sz w:val="28"/>
        </w:rPr>
      </w:pPr>
      <w:r>
        <w:rPr>
          <w:sz w:val="28"/>
        </w:rPr>
        <w:t>ОБ ОРГАНИЗАЦИИ РАБОТЫ ПО ОБЕСПЕЧЕНИЮ ПЕРЕВАЛКИ Г</w:t>
      </w:r>
      <w:r>
        <w:rPr>
          <w:sz w:val="28"/>
        </w:rPr>
        <w:t xml:space="preserve">РУЗОВ В МОРСКОМ ПОРТУ </w:t>
      </w:r>
    </w:p>
    <w:p w14:paraId="0A000000">
      <w:pPr>
        <w:pStyle w:val="Style_3"/>
        <w:spacing w:after="0" w:line="240" w:lineRule="auto"/>
        <w:ind w:right="60"/>
        <w:jc w:val="center"/>
        <w:rPr>
          <w:sz w:val="24"/>
        </w:rPr>
      </w:pPr>
      <w:r>
        <w:rPr>
          <w:sz w:val="24"/>
        </w:rPr>
        <w:t xml:space="preserve">(при обслуживании железнодорожного пути </w:t>
      </w:r>
      <w:r>
        <w:rPr>
          <w:sz w:val="24"/>
        </w:rPr>
        <w:t>необщего</w:t>
      </w:r>
      <w:r>
        <w:rPr>
          <w:sz w:val="24"/>
        </w:rPr>
        <w:t xml:space="preserve"> пользования локомотивом оператора морского терминала)</w:t>
      </w:r>
    </w:p>
    <w:p w14:paraId="0B000000">
      <w:pPr>
        <w:pStyle w:val="Style_3"/>
        <w:spacing w:after="0" w:line="240" w:lineRule="auto"/>
        <w:ind w:right="60"/>
        <w:jc w:val="center"/>
        <w:rPr>
          <w:sz w:val="24"/>
        </w:rPr>
      </w:pPr>
    </w:p>
    <w:p w14:paraId="0C000000">
      <w:pPr>
        <w:pStyle w:val="Style_3"/>
        <w:spacing w:after="0" w:line="240" w:lineRule="auto"/>
        <w:ind w:right="60"/>
        <w:jc w:val="center"/>
        <w:rPr>
          <w:sz w:val="24"/>
        </w:rPr>
      </w:pPr>
      <w:r>
        <w:rPr>
          <w:sz w:val="24"/>
        </w:rPr>
        <w:t>Место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>Дата</w:t>
      </w:r>
    </w:p>
    <w:p w14:paraId="0D000000">
      <w:pPr>
        <w:pStyle w:val="Style_3"/>
        <w:spacing w:after="0" w:line="240" w:lineRule="auto"/>
        <w:ind w:right="60"/>
        <w:jc w:val="both"/>
        <w:rPr>
          <w:sz w:val="24"/>
        </w:rPr>
      </w:pPr>
      <w:r>
        <w:rPr>
          <w:sz w:val="24"/>
        </w:rPr>
        <w:t xml:space="preserve">     заключения                                                                                             </w:t>
      </w:r>
      <w:r>
        <w:rPr>
          <w:sz w:val="24"/>
        </w:rPr>
        <w:t xml:space="preserve">               </w:t>
      </w:r>
      <w:r>
        <w:rPr>
          <w:sz w:val="24"/>
        </w:rPr>
        <w:t>заключения</w:t>
      </w:r>
    </w:p>
    <w:p w14:paraId="0E000000">
      <w:pPr>
        <w:pStyle w:val="Style_3"/>
        <w:spacing w:after="0" w:line="240" w:lineRule="auto"/>
        <w:ind w:right="60"/>
        <w:jc w:val="both"/>
        <w:rPr>
          <w:sz w:val="24"/>
        </w:rPr>
      </w:pPr>
    </w:p>
    <w:p w14:paraId="0F000000">
      <w:pPr>
        <w:pStyle w:val="Style_3"/>
        <w:spacing w:after="0" w:line="240" w:lineRule="auto"/>
        <w:ind w:right="60"/>
        <w:jc w:val="center"/>
        <w:rPr>
          <w:sz w:val="24"/>
        </w:rPr>
      </w:pPr>
    </w:p>
    <w:p w14:paraId="10000000">
      <w:pPr>
        <w:pStyle w:val="Style_3"/>
        <w:tabs>
          <w:tab w:leader="underscore" w:pos="6973" w:val="left"/>
        </w:tabs>
        <w:spacing w:after="0" w:line="240" w:lineRule="auto"/>
        <w:ind/>
        <w:jc w:val="both"/>
        <w:rPr>
          <w:sz w:val="28"/>
        </w:rPr>
      </w:pPr>
      <w:r>
        <w:rPr>
          <w:sz w:val="28"/>
        </w:rPr>
        <w:t>___________________________________________________________, именуемое</w:t>
      </w:r>
    </w:p>
    <w:p w14:paraId="11000000">
      <w:pPr>
        <w:pStyle w:val="Style_3"/>
        <w:spacing w:after="0" w:line="240" w:lineRule="auto"/>
        <w:ind w:right="60"/>
        <w:jc w:val="both"/>
        <w:rPr>
          <w:sz w:val="28"/>
          <w:vertAlign w:val="superscript"/>
        </w:rPr>
      </w:pPr>
      <w:r>
        <w:rPr>
          <w:sz w:val="28"/>
          <w:vertAlign w:val="superscript"/>
        </w:rPr>
        <w:t xml:space="preserve">(полное наименование перевозчика, осуществляющего перевозки грузов железнодорожным транспортом) </w:t>
      </w:r>
    </w:p>
    <w:p w14:paraId="12000000">
      <w:pPr>
        <w:pStyle w:val="Style_3"/>
        <w:tabs>
          <w:tab w:leader="underscore" w:pos="6973" w:val="left"/>
        </w:tabs>
        <w:spacing w:after="0" w:line="240" w:lineRule="auto"/>
        <w:ind/>
        <w:jc w:val="both"/>
        <w:rPr>
          <w:sz w:val="28"/>
        </w:rPr>
      </w:pPr>
      <w:r>
        <w:rPr>
          <w:sz w:val="28"/>
        </w:rPr>
        <w:t xml:space="preserve"> в дальнейшем Перевозчик, в лице____________________________</w:t>
      </w:r>
      <w:r>
        <w:rPr>
          <w:sz w:val="28"/>
        </w:rPr>
        <w:t>___________</w:t>
      </w:r>
    </w:p>
    <w:p w14:paraId="13000000">
      <w:pPr>
        <w:pStyle w:val="Style_3"/>
        <w:tabs>
          <w:tab w:leader="underscore" w:pos="6973" w:val="left"/>
        </w:tabs>
        <w:spacing w:after="0" w:line="240" w:lineRule="auto"/>
        <w:ind/>
        <w:jc w:val="both"/>
        <w:rPr>
          <w:sz w:val="28"/>
        </w:rPr>
      </w:pPr>
      <w:r>
        <w:rPr>
          <w:sz w:val="28"/>
        </w:rPr>
        <w:t xml:space="preserve">______________________________________, </w:t>
      </w:r>
      <w:r>
        <w:rPr>
          <w:sz w:val="28"/>
        </w:rPr>
        <w:t>действующего</w:t>
      </w:r>
      <w:r>
        <w:rPr>
          <w:sz w:val="28"/>
        </w:rPr>
        <w:t xml:space="preserve"> на основании___________________________________________________________ </w:t>
      </w:r>
    </w:p>
    <w:p w14:paraId="14000000">
      <w:pPr>
        <w:pStyle w:val="Style_3"/>
        <w:tabs>
          <w:tab w:leader="underscore" w:pos="6973" w:val="left"/>
        </w:tabs>
        <w:spacing w:after="0" w:line="240" w:lineRule="auto"/>
        <w:ind/>
        <w:jc w:val="center"/>
        <w:rPr>
          <w:sz w:val="28"/>
          <w:vertAlign w:val="superscript"/>
        </w:rPr>
      </w:pPr>
      <w:r>
        <w:rPr>
          <w:sz w:val="28"/>
          <w:vertAlign w:val="superscript"/>
        </w:rPr>
        <w:t xml:space="preserve">указывается документ, уполномочивающий лицо на заключение настоящего Договора, </w:t>
      </w:r>
    </w:p>
    <w:p w14:paraId="15000000">
      <w:pPr>
        <w:pStyle w:val="Style_3"/>
        <w:tabs>
          <w:tab w:leader="underscore" w:pos="6973" w:val="left"/>
        </w:tabs>
        <w:spacing w:after="0" w:line="240" w:lineRule="auto"/>
        <w:ind/>
        <w:jc w:val="center"/>
        <w:rPr>
          <w:sz w:val="28"/>
        </w:rPr>
      </w:pPr>
      <w:r>
        <w:rPr>
          <w:sz w:val="28"/>
          <w:vertAlign w:val="superscript"/>
        </w:rPr>
        <w:t xml:space="preserve">(доверенности от «____» ________ </w:t>
      </w:r>
      <w:r>
        <w:rPr>
          <w:sz w:val="28"/>
          <w:vertAlign w:val="superscript"/>
        </w:rPr>
        <w:t>_____</w:t>
      </w:r>
      <w:r>
        <w:rPr>
          <w:sz w:val="28"/>
          <w:vertAlign w:val="superscript"/>
        </w:rPr>
        <w:t>г</w:t>
      </w:r>
      <w:r>
        <w:rPr>
          <w:sz w:val="28"/>
          <w:vertAlign w:val="superscript"/>
        </w:rPr>
        <w:t>. № _________)</w:t>
      </w:r>
      <w:r>
        <w:rPr>
          <w:sz w:val="28"/>
        </w:rPr>
        <w:t>,</w:t>
      </w:r>
    </w:p>
    <w:p w14:paraId="16000000">
      <w:pPr>
        <w:pStyle w:val="Style_3"/>
        <w:tabs>
          <w:tab w:leader="underscore" w:pos="6973" w:val="left"/>
        </w:tabs>
        <w:spacing w:after="0" w:line="240" w:lineRule="auto"/>
        <w:ind/>
        <w:jc w:val="both"/>
        <w:rPr>
          <w:sz w:val="28"/>
        </w:rPr>
      </w:pPr>
      <w:r>
        <w:rPr>
          <w:sz w:val="28"/>
        </w:rPr>
        <w:t>с одной стороны, и_____________________________________________________</w:t>
      </w:r>
    </w:p>
    <w:p w14:paraId="17000000">
      <w:pPr>
        <w:pStyle w:val="Style_3"/>
        <w:spacing w:after="0" w:line="240" w:lineRule="auto"/>
        <w:ind w:right="62"/>
        <w:jc w:val="center"/>
        <w:rPr>
          <w:sz w:val="28"/>
          <w:vertAlign w:val="superscript"/>
        </w:rPr>
      </w:pPr>
      <w:r>
        <w:rPr>
          <w:sz w:val="28"/>
          <w:vertAlign w:val="superscript"/>
        </w:rPr>
        <w:t xml:space="preserve">                                                     </w:t>
      </w:r>
      <w:r>
        <w:rPr>
          <w:sz w:val="28"/>
          <w:vertAlign w:val="superscript"/>
        </w:rPr>
        <w:t xml:space="preserve">(полное наименование оператора морского терминала </w:t>
      </w:r>
    </w:p>
    <w:p w14:paraId="18000000">
      <w:pPr>
        <w:pStyle w:val="Style_3"/>
        <w:spacing w:after="0" w:line="240" w:lineRule="auto"/>
        <w:ind w:right="60"/>
        <w:jc w:val="both"/>
        <w:rPr>
          <w:sz w:val="28"/>
        </w:rPr>
      </w:pPr>
      <w:r>
        <w:rPr>
          <w:sz w:val="28"/>
        </w:rPr>
        <w:t>именуемое</w:t>
      </w:r>
      <w:r>
        <w:rPr>
          <w:sz w:val="28"/>
        </w:rPr>
        <w:t xml:space="preserve"> в дальнейшем Оператор, в лице______________________</w:t>
      </w:r>
      <w:r>
        <w:rPr>
          <w:sz w:val="28"/>
        </w:rPr>
        <w:t>_________</w:t>
      </w:r>
    </w:p>
    <w:p w14:paraId="19000000">
      <w:pPr>
        <w:pStyle w:val="Style_3"/>
        <w:spacing w:after="0" w:line="240" w:lineRule="auto"/>
        <w:ind w:right="60"/>
        <w:jc w:val="both"/>
        <w:rPr>
          <w:sz w:val="28"/>
        </w:rPr>
      </w:pPr>
      <w:r>
        <w:rPr>
          <w:sz w:val="28"/>
        </w:rPr>
        <w:t>________________________________________________________________,</w:t>
      </w:r>
    </w:p>
    <w:p w14:paraId="1A000000">
      <w:pPr>
        <w:pStyle w:val="Style_3"/>
        <w:spacing w:after="0" w:line="240" w:lineRule="auto"/>
        <w:ind w:right="60"/>
        <w:jc w:val="center"/>
        <w:rPr>
          <w:sz w:val="28"/>
          <w:vertAlign w:val="superscript"/>
        </w:rPr>
      </w:pPr>
      <w:r>
        <w:rPr>
          <w:sz w:val="28"/>
          <w:vertAlign w:val="superscript"/>
        </w:rPr>
        <w:t>(должность, Ф.И.О. – полностью)</w:t>
      </w:r>
    </w:p>
    <w:p w14:paraId="1B000000">
      <w:pPr>
        <w:pStyle w:val="Style_3"/>
        <w:spacing w:after="0" w:line="240" w:lineRule="auto"/>
        <w:ind w:right="60"/>
        <w:jc w:val="both"/>
        <w:rPr>
          <w:sz w:val="28"/>
        </w:rPr>
      </w:pPr>
      <w:r>
        <w:rPr>
          <w:sz w:val="28"/>
        </w:rPr>
        <w:t>действующего</w:t>
      </w:r>
      <w:r>
        <w:rPr>
          <w:sz w:val="28"/>
        </w:rPr>
        <w:t xml:space="preserve"> на основании _______________________________________</w:t>
      </w:r>
    </w:p>
    <w:p w14:paraId="1C000000">
      <w:pPr>
        <w:pStyle w:val="Style_3"/>
        <w:tabs>
          <w:tab w:leader="underscore" w:pos="6973" w:val="left"/>
        </w:tabs>
        <w:spacing w:after="0" w:line="240" w:lineRule="auto"/>
        <w:ind/>
        <w:jc w:val="center"/>
        <w:rPr>
          <w:sz w:val="28"/>
          <w:vertAlign w:val="superscript"/>
        </w:rPr>
      </w:pPr>
      <w:r>
        <w:rPr>
          <w:sz w:val="28"/>
          <w:vertAlign w:val="superscript"/>
        </w:rPr>
        <w:t xml:space="preserve">                                                                  указывается доку</w:t>
      </w:r>
      <w:r>
        <w:rPr>
          <w:sz w:val="28"/>
          <w:vertAlign w:val="superscript"/>
        </w:rPr>
        <w:t xml:space="preserve">мент, уполномочивающий лицо на заключение настоящего                          </w:t>
      </w:r>
    </w:p>
    <w:p w14:paraId="1D000000">
      <w:pPr>
        <w:pStyle w:val="Style_3"/>
        <w:tabs>
          <w:tab w:leader="underscore" w:pos="6973" w:val="left"/>
        </w:tabs>
        <w:spacing w:after="0" w:line="240" w:lineRule="auto"/>
        <w:ind/>
        <w:jc w:val="center"/>
        <w:rPr>
          <w:sz w:val="28"/>
        </w:rPr>
      </w:pPr>
      <w:r>
        <w:rPr>
          <w:sz w:val="28"/>
          <w:vertAlign w:val="superscript"/>
        </w:rPr>
        <w:t xml:space="preserve">                                                                      Договора, (доверенности от «____» ________ </w:t>
      </w:r>
      <w:r>
        <w:rPr>
          <w:sz w:val="28"/>
          <w:vertAlign w:val="superscript"/>
        </w:rPr>
        <w:t>_____</w:t>
      </w:r>
      <w:r>
        <w:rPr>
          <w:sz w:val="28"/>
          <w:vertAlign w:val="superscript"/>
        </w:rPr>
        <w:t>г</w:t>
      </w:r>
      <w:r>
        <w:rPr>
          <w:sz w:val="28"/>
          <w:vertAlign w:val="superscript"/>
        </w:rPr>
        <w:t>. № _________)</w:t>
      </w:r>
      <w:r>
        <w:rPr>
          <w:sz w:val="28"/>
        </w:rPr>
        <w:t xml:space="preserve">, </w:t>
      </w:r>
    </w:p>
    <w:p w14:paraId="1E000000">
      <w:pPr>
        <w:pStyle w:val="Style_3"/>
        <w:tabs>
          <w:tab w:leader="underscore" w:pos="6973" w:val="left"/>
        </w:tabs>
        <w:spacing w:after="0" w:line="240" w:lineRule="auto"/>
        <w:ind/>
        <w:jc w:val="both"/>
        <w:rPr>
          <w:sz w:val="28"/>
          <w:vertAlign w:val="superscript"/>
        </w:rPr>
      </w:pPr>
      <w:r>
        <w:rPr>
          <w:sz w:val="28"/>
        </w:rPr>
        <w:t xml:space="preserve">с другой стороны, именуемые в дальнейшем </w:t>
      </w:r>
      <w:r>
        <w:rPr>
          <w:sz w:val="28"/>
        </w:rPr>
        <w:t>Стороны, заключили настоящий Договор о нижеследующем:</w:t>
      </w:r>
    </w:p>
    <w:p w14:paraId="1F000000">
      <w:pPr>
        <w:pStyle w:val="Style_3"/>
        <w:tabs>
          <w:tab w:leader="underscore" w:pos="6118" w:val="left"/>
        </w:tabs>
        <w:spacing w:after="0" w:line="240" w:lineRule="auto"/>
        <w:ind w:firstLine="0" w:left="200"/>
        <w:jc w:val="both"/>
      </w:pPr>
    </w:p>
    <w:p w14:paraId="20000000">
      <w:pPr>
        <w:pStyle w:val="Style_2"/>
        <w:numPr>
          <w:ilvl w:val="0"/>
          <w:numId w:val="1"/>
        </w:numPr>
        <w:tabs>
          <w:tab w:leader="none" w:pos="993" w:val="left"/>
        </w:tabs>
        <w:spacing w:before="0" w:line="240" w:lineRule="auto"/>
        <w:ind w:firstLine="680" w:left="0"/>
        <w:jc w:val="both"/>
        <w:rPr>
          <w:sz w:val="28"/>
        </w:rPr>
      </w:pPr>
      <w:r>
        <w:rPr>
          <w:sz w:val="28"/>
        </w:rPr>
        <w:t>Предмет договора</w:t>
      </w:r>
    </w:p>
    <w:p w14:paraId="21000000">
      <w:pPr>
        <w:pStyle w:val="Style_3"/>
        <w:numPr>
          <w:ilvl w:val="1"/>
          <w:numId w:val="1"/>
        </w:numPr>
        <w:tabs>
          <w:tab w:leader="none" w:pos="0" w:val="left"/>
        </w:tabs>
        <w:spacing w:after="0" w:line="240" w:lineRule="auto"/>
        <w:ind w:firstLine="680" w:left="0" w:right="20"/>
        <w:jc w:val="both"/>
        <w:rPr>
          <w:sz w:val="28"/>
        </w:rPr>
      </w:pPr>
      <w:r>
        <w:rPr>
          <w:sz w:val="28"/>
        </w:rPr>
        <w:t>Настоящий Договор регулирует взаимоотношения Сторон при организации работы по обеспечению перевалки в морском порту ________ грузов, завозимых или вывозимых железнодорожным транспортом</w:t>
      </w:r>
      <w:r>
        <w:rPr>
          <w:sz w:val="28"/>
        </w:rPr>
        <w:t xml:space="preserve"> </w:t>
      </w:r>
      <w:r>
        <w:rPr>
          <w:sz w:val="28"/>
        </w:rPr>
        <w:t>на</w:t>
      </w:r>
      <w:r>
        <w:rPr>
          <w:sz w:val="28"/>
        </w:rPr>
        <w:t>/</w:t>
      </w:r>
      <w:r>
        <w:rPr>
          <w:sz w:val="28"/>
        </w:rPr>
        <w:t>с</w:t>
      </w:r>
      <w:r>
        <w:rPr>
          <w:sz w:val="28"/>
        </w:rPr>
        <w:t xml:space="preserve"> припортовой станции (станции примыкания) _______.</w:t>
      </w:r>
    </w:p>
    <w:p w14:paraId="22000000">
      <w:pPr>
        <w:pStyle w:val="Style_3"/>
        <w:numPr>
          <w:ilvl w:val="1"/>
          <w:numId w:val="1"/>
        </w:numPr>
        <w:tabs>
          <w:tab w:leader="none" w:pos="0" w:val="left"/>
        </w:tabs>
        <w:spacing w:after="0" w:line="240" w:lineRule="auto"/>
        <w:ind w:firstLine="680" w:left="0" w:right="20"/>
        <w:jc w:val="both"/>
        <w:rPr>
          <w:sz w:val="28"/>
        </w:rPr>
      </w:pPr>
      <w:r>
        <w:rPr>
          <w:sz w:val="28"/>
        </w:rPr>
        <w:t>Настоящий Договор содержит условия, установленные частью 4 статьи 27 Федерального закона «О морских портах в Российской Федерации и о внесении изменений в отдельные законодательные акты Российской Фед</w:t>
      </w:r>
      <w:r>
        <w:rPr>
          <w:sz w:val="28"/>
        </w:rPr>
        <w:t>ерации».</w:t>
      </w:r>
    </w:p>
    <w:p w14:paraId="23000000">
      <w:pPr>
        <w:pStyle w:val="Style_3"/>
        <w:numPr>
          <w:ilvl w:val="1"/>
          <w:numId w:val="1"/>
        </w:numPr>
        <w:tabs>
          <w:tab w:leader="none" w:pos="0" w:val="left"/>
          <w:tab w:leader="none" w:pos="1381" w:val="left"/>
          <w:tab w:leader="none" w:pos="9214" w:val="left"/>
        </w:tabs>
        <w:spacing w:after="0" w:line="240" w:lineRule="auto"/>
        <w:ind w:firstLine="680" w:left="0" w:right="-1"/>
        <w:jc w:val="both"/>
        <w:rPr>
          <w:sz w:val="28"/>
        </w:rPr>
      </w:pPr>
      <w:r>
        <w:rPr>
          <w:sz w:val="28"/>
        </w:rPr>
        <w:t xml:space="preserve">При исполнении настоящего Договора Стороны руководствуются положениями Устава железнодорожного транспорта Российской Федерации (далее – Устав), Федерального закона «О морских портах в Российской Федерации и о внесении изменений в отдельные </w:t>
      </w:r>
      <w:r>
        <w:rPr>
          <w:sz w:val="28"/>
        </w:rPr>
        <w:t>законодательные акты Российской Федерации» и другими нормативными правовыми актами Российской Федерации.</w:t>
      </w:r>
    </w:p>
    <w:p w14:paraId="24000000">
      <w:pPr>
        <w:pStyle w:val="Style_3"/>
        <w:tabs>
          <w:tab w:leader="none" w:pos="0" w:val="left"/>
          <w:tab w:leader="none" w:pos="1381" w:val="left"/>
          <w:tab w:leader="none" w:pos="9214" w:val="left"/>
        </w:tabs>
        <w:spacing w:after="0" w:line="240" w:lineRule="auto"/>
        <w:ind w:firstLine="680" w:left="0" w:right="-1"/>
        <w:jc w:val="both"/>
        <w:rPr>
          <w:sz w:val="28"/>
        </w:rPr>
      </w:pPr>
    </w:p>
    <w:p w14:paraId="25000000">
      <w:pPr>
        <w:pStyle w:val="Style_4"/>
        <w:numPr>
          <w:ilvl w:val="0"/>
          <w:numId w:val="2"/>
        </w:numPr>
        <w:tabs>
          <w:tab w:leader="none" w:pos="1134" w:val="left"/>
        </w:tabs>
        <w:spacing w:after="0" w:line="240" w:lineRule="auto"/>
        <w:ind w:firstLine="709" w:lef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Термины </w:t>
      </w:r>
      <w:r>
        <w:rPr>
          <w:rFonts w:ascii="Times New Roman" w:hAnsi="Times New Roman"/>
          <w:b w:val="1"/>
          <w:strike w:val="0"/>
          <w:sz w:val="28"/>
        </w:rPr>
        <w:t>и определения</w:t>
      </w:r>
      <w:r>
        <w:rPr>
          <w:rFonts w:ascii="Times New Roman" w:hAnsi="Times New Roman"/>
          <w:b w:val="1"/>
          <w:sz w:val="28"/>
        </w:rPr>
        <w:t>, применяемые в настоящем Договоре</w:t>
      </w:r>
      <w:r>
        <w:rPr>
          <w:rFonts w:ascii="Times New Roman" w:hAnsi="Times New Roman"/>
          <w:b w:val="1"/>
          <w:sz w:val="28"/>
        </w:rPr>
        <w:t>.</w:t>
      </w:r>
      <w:r>
        <w:rPr>
          <w:rFonts w:ascii="Times New Roman" w:hAnsi="Times New Roman"/>
          <w:b w:val="1"/>
          <w:sz w:val="28"/>
        </w:rPr>
        <w:t xml:space="preserve"> </w:t>
      </w:r>
    </w:p>
    <w:p w14:paraId="26000000">
      <w:pPr>
        <w:tabs>
          <w:tab w:leader="none" w:pos="1134" w:val="left"/>
        </w:tabs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Для целей настоящего Договора </w:t>
      </w:r>
      <w:r>
        <w:rPr>
          <w:rFonts w:ascii="Times New Roman" w:hAnsi="Times New Roman"/>
          <w:sz w:val="28"/>
        </w:rPr>
        <w:t>применяются следующие термины</w:t>
      </w:r>
      <w:r>
        <w:rPr>
          <w:rFonts w:ascii="Times New Roman" w:hAnsi="Times New Roman"/>
          <w:strike w:val="0"/>
          <w:sz w:val="28"/>
        </w:rPr>
        <w:t xml:space="preserve"> и </w:t>
      </w:r>
      <w:r>
        <w:rPr>
          <w:rFonts w:ascii="Times New Roman" w:hAnsi="Times New Roman"/>
          <w:strike w:val="0"/>
          <w:sz w:val="28"/>
        </w:rPr>
        <w:t>определения</w:t>
      </w:r>
      <w:r>
        <w:rPr>
          <w:rFonts w:ascii="Times New Roman" w:hAnsi="Times New Roman"/>
          <w:sz w:val="28"/>
        </w:rPr>
        <w:t>.</w:t>
      </w:r>
    </w:p>
    <w:p w14:paraId="27000000">
      <w:pPr>
        <w:pStyle w:val="Style_3"/>
        <w:numPr>
          <w:ilvl w:val="1"/>
          <w:numId w:val="2"/>
        </w:numPr>
        <w:tabs>
          <w:tab w:leader="none" w:pos="0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>Перерабатывающая способность терминала Оператора – максимально возможный объем погрузки/выгрузки вагонов в течение суток, ограниченный техническими и технологическими возможностями Оператора и припортовой инфрас</w:t>
      </w:r>
      <w:r>
        <w:rPr>
          <w:sz w:val="28"/>
        </w:rPr>
        <w:t xml:space="preserve">труктуры железнодорожного транспорта, устанавливаемый Сторонами по согласованию при заключении настоящего Договора и корректируемый Сторонами по мере необходимости в связи с изменением технических и технологических возможностей Сторон. </w:t>
      </w:r>
    </w:p>
    <w:p w14:paraId="28000000">
      <w:pPr>
        <w:pStyle w:val="Style_3"/>
        <w:tabs>
          <w:tab w:leader="none" w:pos="0" w:val="left"/>
        </w:tabs>
        <w:spacing w:after="0" w:line="240" w:lineRule="auto"/>
        <w:ind w:firstLine="709" w:left="0" w:right="20"/>
        <w:jc w:val="both"/>
        <w:rPr>
          <w:strike w:val="0"/>
          <w:sz w:val="28"/>
        </w:rPr>
      </w:pPr>
      <w:r>
        <w:rPr>
          <w:strike w:val="0"/>
          <w:sz w:val="28"/>
        </w:rPr>
        <w:t>Перерабатывающая сп</w:t>
      </w:r>
      <w:r>
        <w:rPr>
          <w:strike w:val="0"/>
          <w:sz w:val="28"/>
        </w:rPr>
        <w:t xml:space="preserve">особность терминала Оператора с разбивкой по основным родам грузов и, при необходимости, местам погрузки/выгрузки грузов </w:t>
      </w:r>
      <w:r>
        <w:rPr>
          <w:strike w:val="0"/>
          <w:sz w:val="28"/>
        </w:rPr>
        <w:t xml:space="preserve">может быть </w:t>
      </w:r>
      <w:r>
        <w:rPr>
          <w:strike w:val="0"/>
          <w:sz w:val="28"/>
        </w:rPr>
        <w:t>приведена в приложении</w:t>
      </w:r>
      <w:r>
        <w:rPr>
          <w:strike w:val="0"/>
          <w:sz w:val="28"/>
        </w:rPr>
        <w:t xml:space="preserve"> к</w:t>
      </w:r>
      <w:r>
        <w:rPr>
          <w:strike w:val="0"/>
          <w:sz w:val="28"/>
        </w:rPr>
        <w:t xml:space="preserve"> Договору</w:t>
      </w:r>
      <w:r>
        <w:rPr>
          <w:strike w:val="0"/>
          <w:sz w:val="28"/>
        </w:rPr>
        <w:t>, заключенному Сторонами</w:t>
      </w:r>
      <w:r>
        <w:rPr>
          <w:strike w:val="0"/>
          <w:sz w:val="28"/>
        </w:rPr>
        <w:t>.</w:t>
      </w:r>
    </w:p>
    <w:p w14:paraId="29000000">
      <w:pPr>
        <w:pStyle w:val="Style_3"/>
        <w:numPr>
          <w:ilvl w:val="1"/>
          <w:numId w:val="2"/>
        </w:numPr>
        <w:tabs>
          <w:tab w:leader="none" w:pos="0" w:val="left"/>
          <w:tab w:leader="none" w:pos="1134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 xml:space="preserve"> Сменно-суточный план совместной работы Оператора и Перевозчика</w:t>
      </w:r>
      <w:r>
        <w:t> </w:t>
      </w:r>
      <w:r>
        <w:rPr>
          <w:sz w:val="28"/>
        </w:rPr>
        <w:t>– документ, устанав</w:t>
      </w:r>
      <w:r>
        <w:rPr>
          <w:sz w:val="28"/>
        </w:rPr>
        <w:t xml:space="preserve">ливающий согласованную норму погрузки/выгрузки вагонов и определяющий </w:t>
      </w:r>
      <w:r>
        <w:rPr>
          <w:sz w:val="28"/>
        </w:rPr>
        <w:t>время обработки вагонов, очередность и предварительное время подачи вагонов с разбивкой по основным родам грузов и иные условия, согласованные Сторонами (да</w:t>
      </w:r>
      <w:r>
        <w:rPr>
          <w:sz w:val="28"/>
        </w:rPr>
        <w:t xml:space="preserve">лее – сменно-суточный план). </w:t>
      </w:r>
    </w:p>
    <w:p w14:paraId="2A000000">
      <w:pPr>
        <w:pStyle w:val="Style_3"/>
        <w:tabs>
          <w:tab w:leader="none" w:pos="0" w:val="left"/>
          <w:tab w:leader="none" w:pos="709" w:val="left"/>
          <w:tab w:leader="none" w:pos="1134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>Примерная форма сменно-суточного плана приведена в приложении № ___ к настоящему Договору.</w:t>
      </w:r>
    </w:p>
    <w:p w14:paraId="2B000000">
      <w:pPr>
        <w:pStyle w:val="Style_3"/>
        <w:numPr>
          <w:ilvl w:val="1"/>
          <w:numId w:val="2"/>
        </w:numPr>
        <w:tabs>
          <w:tab w:leader="none" w:pos="0" w:val="left"/>
          <w:tab w:leader="none" w:pos="1134" w:val="left"/>
        </w:tabs>
        <w:spacing w:after="0" w:line="240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 Размер перевозок грузов железнодорожным транспортом - объем перевозок грузов, сформированный исходя из принятых Перевозчиком заявок на</w:t>
      </w:r>
      <w:r>
        <w:rPr>
          <w:sz w:val="28"/>
        </w:rPr>
        <w:t xml:space="preserve"> перевозку грузов, составленных по форме ГУ-12 (далее – Заявка ГУ-12).</w:t>
      </w:r>
    </w:p>
    <w:p w14:paraId="2C000000">
      <w:pPr>
        <w:pStyle w:val="Style_3"/>
        <w:numPr>
          <w:ilvl w:val="1"/>
          <w:numId w:val="2"/>
        </w:numPr>
        <w:tabs>
          <w:tab w:leader="none" w:pos="0" w:val="left"/>
          <w:tab w:leader="none" w:pos="1134" w:val="left"/>
          <w:tab w:leader="none" w:pos="1418" w:val="left"/>
          <w:tab w:leader="none" w:pos="1560" w:val="left"/>
        </w:tabs>
        <w:spacing w:after="0" w:line="240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 Согласованная норма погрузки/</w:t>
      </w:r>
      <w:r>
        <w:rPr>
          <w:sz w:val="28"/>
        </w:rPr>
        <w:t>выгрузки вагонов – количество вагонов, подлежащее погрузке/выгрузке, подаче и уборке в следующие сутки (далее – планируемые сутки) и устанавливаемое Сторо</w:t>
      </w:r>
      <w:r>
        <w:rPr>
          <w:sz w:val="28"/>
        </w:rPr>
        <w:t>нами в процессе сменно-суточного планирования исходя из оперативной обстановки.</w:t>
      </w:r>
    </w:p>
    <w:p w14:paraId="2D000000">
      <w:pPr>
        <w:pStyle w:val="Style_3"/>
        <w:numPr>
          <w:ilvl w:val="1"/>
          <w:numId w:val="2"/>
        </w:numPr>
        <w:tabs>
          <w:tab w:leader="none" w:pos="0" w:val="left"/>
          <w:tab w:leader="none" w:pos="1134" w:val="left"/>
          <w:tab w:leader="none" w:pos="1381" w:val="left"/>
          <w:tab w:leader="none" w:pos="1418" w:val="left"/>
          <w:tab w:leader="none" w:pos="1560" w:val="left"/>
          <w:tab w:leader="none" w:pos="9214" w:val="left"/>
        </w:tabs>
        <w:spacing w:after="0" w:line="240" w:lineRule="auto"/>
        <w:ind w:firstLine="709" w:left="0" w:right="-1"/>
        <w:jc w:val="both"/>
        <w:rPr>
          <w:sz w:val="28"/>
        </w:rPr>
      </w:pPr>
      <w:r>
        <w:rPr>
          <w:sz w:val="28"/>
        </w:rPr>
        <w:t xml:space="preserve"> Вагоны с полным сроком – вагоны (груженые или порожние), которые в планируемые сутки будут доставлены на станцию назначения и поданы оператору морского терминала на пути </w:t>
      </w:r>
      <w:r>
        <w:rPr>
          <w:sz w:val="28"/>
        </w:rPr>
        <w:t>необщ</w:t>
      </w:r>
      <w:r>
        <w:rPr>
          <w:sz w:val="28"/>
        </w:rPr>
        <w:t>его</w:t>
      </w:r>
      <w:r>
        <w:rPr>
          <w:sz w:val="28"/>
        </w:rPr>
        <w:t xml:space="preserve"> пользования в срок, позволяющий ему с учетом срока оборота вагонов обеспечить завершение погрузки/выгрузки вагонов до окончания отчетных суток.</w:t>
      </w:r>
    </w:p>
    <w:p w14:paraId="2E000000">
      <w:pPr>
        <w:pStyle w:val="Style_3"/>
        <w:numPr>
          <w:ilvl w:val="1"/>
          <w:numId w:val="2"/>
        </w:numPr>
        <w:tabs>
          <w:tab w:leader="none" w:pos="0" w:val="left"/>
          <w:tab w:leader="none" w:pos="1134" w:val="left"/>
          <w:tab w:leader="none" w:pos="1381" w:val="left"/>
          <w:tab w:leader="none" w:pos="1418" w:val="left"/>
          <w:tab w:leader="none" w:pos="1560" w:val="left"/>
          <w:tab w:leader="none" w:pos="9214" w:val="left"/>
        </w:tabs>
        <w:spacing w:after="0" w:line="240" w:lineRule="auto"/>
        <w:ind w:firstLine="709" w:left="0" w:right="-1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 xml:space="preserve">Вагоны с неполным сроком – вагоны, которые в планируемые сутки </w:t>
      </w:r>
      <w:r>
        <w:rPr>
          <w:sz w:val="28"/>
        </w:rPr>
        <w:t xml:space="preserve">будут </w:t>
      </w:r>
      <w:r>
        <w:rPr>
          <w:sz w:val="28"/>
        </w:rPr>
        <w:t>доставлены</w:t>
      </w:r>
      <w:r>
        <w:rPr>
          <w:sz w:val="28"/>
        </w:rPr>
        <w:t xml:space="preserve"> </w:t>
      </w:r>
      <w:r>
        <w:rPr>
          <w:sz w:val="28"/>
        </w:rPr>
        <w:t>на станцию назначен</w:t>
      </w:r>
      <w:r>
        <w:rPr>
          <w:sz w:val="28"/>
        </w:rPr>
        <w:t>ия и</w:t>
      </w:r>
      <w:r>
        <w:rPr>
          <w:sz w:val="28"/>
        </w:rPr>
        <w:t xml:space="preserve"> поданы оператору морского терминала на пути </w:t>
      </w:r>
      <w:r>
        <w:rPr>
          <w:sz w:val="28"/>
        </w:rPr>
        <w:t>необщего</w:t>
      </w:r>
      <w:r>
        <w:rPr>
          <w:sz w:val="28"/>
        </w:rPr>
        <w:t xml:space="preserve"> пользования в срок, меньший срока оборота вагонов, не позволяющий обеспечить завершение погрузки/выгрузки вагонов до окончания отчетных суток.</w:t>
      </w:r>
    </w:p>
    <w:p w14:paraId="2F000000">
      <w:pPr>
        <w:pStyle w:val="Style_3"/>
        <w:tabs>
          <w:tab w:leader="none" w:pos="0" w:val="left"/>
          <w:tab w:leader="none" w:pos="1134" w:val="left"/>
          <w:tab w:leader="none" w:pos="1381" w:val="left"/>
          <w:tab w:leader="none" w:pos="1418" w:val="left"/>
          <w:tab w:leader="none" w:pos="1560" w:val="left"/>
          <w:tab w:leader="none" w:pos="9214" w:val="left"/>
        </w:tabs>
        <w:spacing w:after="0" w:line="240" w:lineRule="auto"/>
        <w:ind w:firstLine="709" w:left="0" w:right="-1"/>
        <w:jc w:val="both"/>
        <w:rPr>
          <w:sz w:val="28"/>
        </w:rPr>
      </w:pPr>
    </w:p>
    <w:p w14:paraId="30000000">
      <w:pPr>
        <w:pStyle w:val="Style_3"/>
        <w:numPr>
          <w:ilvl w:val="0"/>
          <w:numId w:val="3"/>
        </w:numPr>
        <w:tabs>
          <w:tab w:leader="none" w:pos="0" w:val="left"/>
          <w:tab w:leader="none" w:pos="1134" w:val="left"/>
        </w:tabs>
        <w:spacing w:after="0" w:line="240" w:lineRule="auto"/>
        <w:ind w:firstLine="709" w:left="0"/>
        <w:jc w:val="both"/>
        <w:rPr>
          <w:b w:val="1"/>
          <w:sz w:val="28"/>
        </w:rPr>
      </w:pPr>
      <w:r>
        <w:rPr>
          <w:b w:val="1"/>
          <w:sz w:val="28"/>
        </w:rPr>
        <w:t>Порядок планирования перевозок грузов.</w:t>
      </w:r>
    </w:p>
    <w:p w14:paraId="31000000">
      <w:pPr>
        <w:pStyle w:val="Style_3"/>
        <w:numPr>
          <w:ilvl w:val="1"/>
          <w:numId w:val="3"/>
        </w:numPr>
        <w:tabs>
          <w:tab w:leader="none" w:pos="1134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 xml:space="preserve"> Планирование перевозок грузов, следующих в прямом и непрямом международном, прямом и непрямом смешанном железнодорожном сообщениях осуществляется Перевозчиком по согласованию с Оператором на основе Заявок ГУ-12 согласно статье 11 Устава с учетом перерабат</w:t>
      </w:r>
      <w:r>
        <w:rPr>
          <w:sz w:val="28"/>
        </w:rPr>
        <w:t>ывающей способности терминала Оператора и инфраструктуры железнодорожного транспорта общего пользования.</w:t>
      </w:r>
    </w:p>
    <w:p w14:paraId="32000000">
      <w:pPr>
        <w:pStyle w:val="Style_3"/>
        <w:numPr>
          <w:ilvl w:val="1"/>
          <w:numId w:val="3"/>
        </w:numPr>
        <w:tabs>
          <w:tab w:leader="none" w:pos="1134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 xml:space="preserve"> После принятия к рассмотрению Заявки ГУ-12 на перевозку грузов в адрес Оператора Перевозчик напра</w:t>
      </w:r>
      <w:r>
        <w:rPr>
          <w:sz w:val="28"/>
        </w:rPr>
        <w:t>вляет Заявку на согласование Оператору.</w:t>
      </w:r>
    </w:p>
    <w:p w14:paraId="33000000">
      <w:pPr>
        <w:pStyle w:val="Style_3"/>
        <w:tabs>
          <w:tab w:leader="none" w:pos="1134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>Оператор расс</w:t>
      </w:r>
      <w:r>
        <w:rPr>
          <w:sz w:val="28"/>
        </w:rPr>
        <w:t>матривает Заявку ГУ-12 в течение 2 дней с момента её получения и возвращает Перевозчику с отметкой о результатах согласования.</w:t>
      </w:r>
    </w:p>
    <w:p w14:paraId="34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Согласование заявки между Оператором и Перевозчиком может осуществляться с использованием информационно-телекоммуникационных сете</w:t>
      </w:r>
      <w:r>
        <w:rPr>
          <w:rFonts w:ascii="Times New Roman" w:hAnsi="Times New Roman"/>
          <w:sz w:val="28"/>
        </w:rPr>
        <w:t>й.</w:t>
      </w:r>
    </w:p>
    <w:p w14:paraId="35000000">
      <w:pPr>
        <w:pStyle w:val="Style_3"/>
        <w:numPr>
          <w:ilvl w:val="1"/>
          <w:numId w:val="4"/>
        </w:numPr>
        <w:tabs>
          <w:tab w:leader="none" w:pos="1134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 xml:space="preserve"> В </w:t>
      </w:r>
      <w:r>
        <w:rPr>
          <w:sz w:val="28"/>
        </w:rPr>
        <w:t>случае</w:t>
      </w:r>
      <w:r>
        <w:rPr>
          <w:sz w:val="28"/>
        </w:rPr>
        <w:t xml:space="preserve"> </w:t>
      </w:r>
      <w:r>
        <w:rPr>
          <w:sz w:val="28"/>
        </w:rPr>
        <w:t>отказа</w:t>
      </w:r>
      <w:r>
        <w:rPr>
          <w:color w:val="00B050"/>
          <w:sz w:val="28"/>
        </w:rPr>
        <w:t xml:space="preserve"> </w:t>
      </w:r>
      <w:r>
        <w:rPr>
          <w:sz w:val="28"/>
        </w:rPr>
        <w:t>в согласовании или частичного согласования Заявки ГУ-12 Оператором Перевозчик возвращает Заявку грузоотправителю в порядке, предусмотренном Уставом.</w:t>
      </w:r>
    </w:p>
    <w:p w14:paraId="36000000">
      <w:pPr>
        <w:pStyle w:val="Style_3"/>
        <w:numPr>
          <w:ilvl w:val="1"/>
          <w:numId w:val="4"/>
        </w:numPr>
        <w:tabs>
          <w:tab w:leader="none" w:pos="709" w:val="left"/>
          <w:tab w:leader="none" w:pos="1134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 xml:space="preserve"> На основании согласованных Заявок ГУ-12 формируются объемы перевозок грузов на месяц, </w:t>
      </w:r>
      <w:r>
        <w:rPr>
          <w:sz w:val="28"/>
        </w:rPr>
        <w:t>которые не должны превышать перерабатывающую способность терминала Оператора.</w:t>
      </w:r>
    </w:p>
    <w:p w14:paraId="37000000">
      <w:pPr>
        <w:pStyle w:val="Style_3"/>
        <w:numPr>
          <w:ilvl w:val="1"/>
          <w:numId w:val="4"/>
        </w:numPr>
        <w:tabs>
          <w:tab w:leader="none" w:pos="0" w:val="left"/>
          <w:tab w:leader="none" w:pos="1381" w:val="left"/>
          <w:tab w:leader="none" w:pos="9214" w:val="left"/>
        </w:tabs>
        <w:spacing w:after="0" w:line="240" w:lineRule="auto"/>
        <w:ind w:firstLine="709" w:left="0" w:right="-1"/>
        <w:jc w:val="both"/>
        <w:rPr>
          <w:sz w:val="28"/>
        </w:rPr>
      </w:pPr>
      <w:r>
        <w:rPr>
          <w:sz w:val="28"/>
        </w:rPr>
        <w:t>При перевозках железнодорожным транспортом грузов, поступивших с морского транспорта, Перевозчик осуществляет рассмотрение и согласование поступившей от Оператора или грузоотправ</w:t>
      </w:r>
      <w:r>
        <w:rPr>
          <w:sz w:val="28"/>
        </w:rPr>
        <w:t xml:space="preserve">ителя, обслуживающегося на железнодорожном пути </w:t>
      </w:r>
      <w:r>
        <w:rPr>
          <w:sz w:val="28"/>
        </w:rPr>
        <w:t>необщего</w:t>
      </w:r>
      <w:r>
        <w:rPr>
          <w:sz w:val="28"/>
        </w:rPr>
        <w:t xml:space="preserve"> пользования Оператора, Заявки ГУ-12 в порядке, предусмотренном статьей 11 Устава и Правилами приема перевозчиком заявок грузоотправителей на перевозку грузов железнодорожным транспортом, утвержденным</w:t>
      </w:r>
      <w:r>
        <w:rPr>
          <w:sz w:val="28"/>
        </w:rPr>
        <w:t>и приказом Минтранса России от 27 июля 2015 г. № 228.</w:t>
      </w:r>
    </w:p>
    <w:p w14:paraId="38000000">
      <w:pPr>
        <w:pStyle w:val="Style_3"/>
        <w:tabs>
          <w:tab w:leader="none" w:pos="0" w:val="left"/>
          <w:tab w:leader="none" w:pos="1381" w:val="left"/>
          <w:tab w:leader="none" w:pos="9214" w:val="left"/>
        </w:tabs>
        <w:spacing w:after="0" w:line="240" w:lineRule="auto"/>
        <w:ind w:firstLine="709" w:left="0" w:right="-1"/>
        <w:jc w:val="both"/>
        <w:rPr>
          <w:sz w:val="28"/>
        </w:rPr>
      </w:pPr>
    </w:p>
    <w:p w14:paraId="39000000">
      <w:pPr>
        <w:pStyle w:val="Style_3"/>
        <w:numPr>
          <w:ilvl w:val="0"/>
          <w:numId w:val="5"/>
        </w:numPr>
        <w:tabs>
          <w:tab w:leader="none" w:pos="1134" w:val="left"/>
        </w:tabs>
        <w:spacing w:after="0" w:line="240" w:lineRule="auto"/>
        <w:ind w:firstLine="709" w:left="0"/>
        <w:jc w:val="both"/>
        <w:rPr>
          <w:b w:val="1"/>
          <w:sz w:val="28"/>
        </w:rPr>
      </w:pPr>
      <w:r>
        <w:rPr>
          <w:b w:val="1"/>
          <w:sz w:val="28"/>
        </w:rPr>
        <w:t>Порядок осуществления сменно-суточного планирования.</w:t>
      </w:r>
    </w:p>
    <w:p w14:paraId="3A000000">
      <w:pPr>
        <w:pStyle w:val="Style_3"/>
        <w:numPr>
          <w:ilvl w:val="1"/>
          <w:numId w:val="5"/>
        </w:numPr>
        <w:tabs>
          <w:tab w:leader="none" w:pos="0" w:val="left"/>
          <w:tab w:leader="none" w:pos="1134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 xml:space="preserve"> Стороны договора ежесуточно планируют погрузку/выгрузку вагонов на планируемые сутки.</w:t>
      </w:r>
    </w:p>
    <w:p w14:paraId="3B000000">
      <w:pPr>
        <w:pStyle w:val="Style_3"/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 xml:space="preserve">Сменно-суточное планирование совместной работы основывается на </w:t>
      </w:r>
      <w:r>
        <w:rPr>
          <w:sz w:val="28"/>
        </w:rPr>
        <w:t>взаимном обмене предварительной информацией о наличии грузов на припортовой станции (станции примыкания), наличии вагонов под грузовыми операциями на терминале Оператора и иной информацией, нео</w:t>
      </w:r>
      <w:r>
        <w:rPr>
          <w:sz w:val="28"/>
        </w:rPr>
        <w:t>бходимой Сторонам для планирования погрузки/выгрузки вагонов на планируемые сутки.</w:t>
      </w:r>
    </w:p>
    <w:p w14:paraId="3C000000">
      <w:pPr>
        <w:pStyle w:val="Style_3"/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>При сменно-суточном планировании работы учитываются вагоны с полным сроком.</w:t>
      </w:r>
    </w:p>
    <w:p w14:paraId="3D000000">
      <w:pPr>
        <w:pStyle w:val="Style_3"/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 xml:space="preserve">Особенности сменно-суточного планирования совместной работы Перевозчика и Оператора, в том числе </w:t>
      </w:r>
      <w:r>
        <w:rPr>
          <w:sz w:val="28"/>
        </w:rPr>
        <w:t>объем представляемой Сторонами предварительной информации, могут определяться по согласованию Сторон с учетом местных условий.</w:t>
      </w:r>
    </w:p>
    <w:p w14:paraId="3E000000">
      <w:pPr>
        <w:pStyle w:val="Style_5"/>
        <w:spacing w:line="240" w:lineRule="auto"/>
        <w:ind w:firstLine="654" w:left="55" w:right="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Оператор на основании полученной от Перевозчика информации в течение _____ часов подготавливает проект сменно-суточного плана, по</w:t>
      </w:r>
      <w:r>
        <w:rPr>
          <w:rFonts w:ascii="Times New Roman" w:hAnsi="Times New Roman"/>
          <w:sz w:val="28"/>
        </w:rPr>
        <w:t>дписывает его и направляет Перевозчику способом, согласованным Сторонами.</w:t>
      </w:r>
    </w:p>
    <w:p w14:paraId="3F000000">
      <w:pPr>
        <w:pStyle w:val="Style_3"/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 xml:space="preserve">Перевозчик рассматривает проект сменно-суточного плана и, при необходимости, вносит по согласованию с Оператором свои корректировки, подписывает и возвращает его Оператору в течение </w:t>
      </w:r>
      <w:r>
        <w:rPr>
          <w:sz w:val="28"/>
        </w:rPr>
        <w:t>____ часов способом, согласованным Сторонами.</w:t>
      </w:r>
    </w:p>
    <w:p w14:paraId="40000000">
      <w:pPr>
        <w:pStyle w:val="Style_5"/>
        <w:spacing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4.2. При планировании погрузки/выгрузки Сторонами согласовывается время подачи/уборки вагонов, норма погрузки/выгрузки, в объеме перерабатывающей способности с учетом следующих особенностей:</w:t>
      </w:r>
    </w:p>
    <w:p w14:paraId="41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при суммарном на</w:t>
      </w:r>
      <w:r>
        <w:rPr>
          <w:rFonts w:ascii="Times New Roman" w:hAnsi="Times New Roman"/>
          <w:sz w:val="28"/>
        </w:rPr>
        <w:t>личии на припортовой станции (станции примыкания) и подходах к ней, а также в местах погрузки/выгрузки вагонов с полным сроком в количестве меньшем, чем перерабатывающая способность терминала Оператора, Стороны согласовывают погрузку/выгрузку, подачу и убо</w:t>
      </w:r>
      <w:r>
        <w:rPr>
          <w:rFonts w:ascii="Times New Roman" w:hAnsi="Times New Roman"/>
          <w:sz w:val="28"/>
        </w:rPr>
        <w:t>рку вагонов по их фактическому наличию, заявленному Перевозчиком;</w:t>
      </w:r>
    </w:p>
    <w:p w14:paraId="42000000">
      <w:pPr>
        <w:pStyle w:val="Style_3"/>
        <w:tabs>
          <w:tab w:leader="none" w:pos="0" w:val="left"/>
          <w:tab w:leader="none" w:pos="1134" w:val="left"/>
        </w:tabs>
        <w:spacing w:after="0" w:line="240" w:lineRule="auto"/>
        <w:ind w:firstLine="709" w:left="0"/>
        <w:jc w:val="both"/>
        <w:rPr>
          <w:sz w:val="28"/>
        </w:rPr>
      </w:pPr>
      <w:r>
        <w:rPr>
          <w:sz w:val="28"/>
        </w:rPr>
        <w:t>б) при наличии на припортовой станции (станции примыкания) и на подходах к ней, а также в местах погрузки/выгрузки вагонов с полным сроком</w:t>
      </w:r>
      <w:r>
        <w:rPr>
          <w:color w:val="FF0000"/>
          <w:sz w:val="28"/>
        </w:rPr>
        <w:t xml:space="preserve"> </w:t>
      </w:r>
      <w:r>
        <w:rPr>
          <w:sz w:val="28"/>
        </w:rPr>
        <w:t>в количестве равном или большем, чем перерабатывающ</w:t>
      </w:r>
      <w:r>
        <w:rPr>
          <w:sz w:val="28"/>
        </w:rPr>
        <w:t>ая способность терминала Оператора, Стороны согласовывают погрузку/выгрузку, подачу и уборку вагонов в объеме, соответствующем их техническим и технологическим возможностям, но не менее перерабатывающей способности терминала Оператора.</w:t>
      </w:r>
    </w:p>
    <w:p w14:paraId="43000000">
      <w:pPr>
        <w:pStyle w:val="Style_3"/>
        <w:tabs>
          <w:tab w:leader="none" w:pos="0" w:val="left"/>
          <w:tab w:leader="none" w:pos="1134" w:val="left"/>
        </w:tabs>
        <w:spacing w:after="0" w:line="240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4.3. В </w:t>
      </w:r>
      <w:r>
        <w:rPr>
          <w:sz w:val="28"/>
        </w:rPr>
        <w:t>отношении</w:t>
      </w:r>
      <w:r>
        <w:rPr>
          <w:sz w:val="28"/>
        </w:rPr>
        <w:t xml:space="preserve"> гру</w:t>
      </w:r>
      <w:r>
        <w:rPr>
          <w:sz w:val="28"/>
        </w:rPr>
        <w:t>зов, для которых настоящим Договором не установлена перерабатывающая способность терминала Оператора, Стороны согласовывают погрузку/выгрузку, подачу и уборку вагонов исходя из их наличия, заявленного Перевозчиком, и технических и технологических возможнос</w:t>
      </w:r>
      <w:r>
        <w:rPr>
          <w:sz w:val="28"/>
        </w:rPr>
        <w:t xml:space="preserve">тей Оператора. </w:t>
      </w:r>
    </w:p>
    <w:p w14:paraId="44000000">
      <w:pPr>
        <w:pStyle w:val="Style_3"/>
        <w:tabs>
          <w:tab w:leader="none" w:pos="0" w:val="left"/>
          <w:tab w:leader="none" w:pos="1134" w:val="left"/>
          <w:tab w:leader="none" w:pos="1418" w:val="left"/>
          <w:tab w:leader="none" w:pos="1560" w:val="left"/>
        </w:tabs>
        <w:spacing w:after="0" w:line="240" w:lineRule="auto"/>
        <w:ind w:firstLine="709" w:left="0" w:right="67"/>
        <w:jc w:val="both"/>
        <w:rPr>
          <w:sz w:val="28"/>
        </w:rPr>
      </w:pPr>
      <w:r>
        <w:rPr>
          <w:sz w:val="28"/>
        </w:rPr>
        <w:t xml:space="preserve">4.4. При разработке проекта сменно-суточного плана вагоны с полным сроком учитываются в числе </w:t>
      </w:r>
      <w:r>
        <w:rPr>
          <w:sz w:val="28"/>
        </w:rPr>
        <w:t>планируемых</w:t>
      </w:r>
      <w:r>
        <w:rPr>
          <w:sz w:val="28"/>
        </w:rPr>
        <w:t xml:space="preserve"> к погрузке/выгрузке</w:t>
      </w:r>
      <w:r>
        <w:rPr>
          <w:color w:themeColor="text1" w:val="000000"/>
          <w:sz w:val="28"/>
        </w:rPr>
        <w:t>, а вагоны с неполным сроком – в числе поданных для погрузки/выгрузки в сутки, следующие за планируемыми</w:t>
      </w:r>
      <w:r>
        <w:rPr>
          <w:sz w:val="28"/>
        </w:rPr>
        <w:t>.</w:t>
      </w:r>
    </w:p>
    <w:p w14:paraId="45000000">
      <w:pPr>
        <w:pStyle w:val="Style_3"/>
        <w:tabs>
          <w:tab w:leader="none" w:pos="0" w:val="left"/>
        </w:tabs>
        <w:spacing w:after="0" w:line="240" w:lineRule="auto"/>
        <w:ind w:firstLine="709" w:left="55" w:right="67"/>
        <w:jc w:val="both"/>
        <w:rPr>
          <w:sz w:val="28"/>
        </w:rPr>
      </w:pPr>
      <w:r>
        <w:rPr>
          <w:sz w:val="28"/>
        </w:rPr>
        <w:t>4.5. Согласованная норма погрузки/выгрузки фиксируется Сторонами в сменно-суточном плане</w:t>
      </w:r>
      <w:r>
        <w:rPr>
          <w:sz w:val="28"/>
        </w:rPr>
        <w:t>, который ежесуточно подписывается Сторонами</w:t>
      </w:r>
      <w:r>
        <w:rPr>
          <w:sz w:val="28"/>
        </w:rPr>
        <w:t xml:space="preserve"> и в учетной ведомости</w:t>
      </w:r>
      <w:r>
        <w:rPr>
          <w:sz w:val="28"/>
        </w:rPr>
        <w:t>.</w:t>
      </w:r>
    </w:p>
    <w:p w14:paraId="46000000">
      <w:pPr>
        <w:pStyle w:val="Style_3"/>
        <w:tabs>
          <w:tab w:leader="none" w:pos="0" w:val="left"/>
        </w:tabs>
        <w:spacing w:after="0" w:line="240" w:lineRule="auto"/>
        <w:ind w:firstLine="709" w:left="55" w:right="67"/>
        <w:jc w:val="both"/>
        <w:rPr>
          <w:i w:val="0"/>
          <w:sz w:val="28"/>
        </w:rPr>
      </w:pPr>
      <w:r>
        <w:rPr>
          <w:i w:val="0"/>
          <w:sz w:val="28"/>
        </w:rPr>
        <w:t>Примерная форма учетной ведомости приведена в Приложении № __ к настоящему Договору.</w:t>
      </w:r>
    </w:p>
    <w:p w14:paraId="47000000">
      <w:pPr>
        <w:pStyle w:val="Style_3"/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 xml:space="preserve">4.6. Действия, </w:t>
      </w:r>
      <w:r>
        <w:rPr>
          <w:sz w:val="28"/>
        </w:rPr>
        <w:t>связанные с обменом информацией и согласованием сменно-суточного плана, осуществляются между уполномоченными лицами:</w:t>
      </w:r>
    </w:p>
    <w:p w14:paraId="48000000">
      <w:pPr>
        <w:pStyle w:val="Style_3"/>
        <w:tabs>
          <w:tab w:leader="none" w:pos="0" w:val="left"/>
          <w:tab w:leader="none" w:pos="1134" w:val="left"/>
          <w:tab w:leader="underscore" w:pos="2672" w:val="left"/>
        </w:tabs>
        <w:spacing w:after="0" w:line="240" w:lineRule="auto"/>
        <w:ind w:firstLine="709" w:left="0"/>
        <w:jc w:val="both"/>
        <w:rPr>
          <w:sz w:val="28"/>
        </w:rPr>
      </w:pPr>
      <w:r>
        <w:rPr>
          <w:sz w:val="28"/>
        </w:rPr>
        <w:t>от Перевозчика</w:t>
      </w:r>
      <w:r>
        <w:rPr>
          <w:sz w:val="28"/>
        </w:rPr>
        <w:tab/>
      </w:r>
      <w:r>
        <w:rPr>
          <w:sz w:val="28"/>
        </w:rPr>
        <w:t>________________________________________________</w:t>
      </w:r>
    </w:p>
    <w:p w14:paraId="49000000">
      <w:pPr>
        <w:pStyle w:val="Style_3"/>
        <w:tabs>
          <w:tab w:leader="none" w:pos="0" w:val="left"/>
          <w:tab w:leader="none" w:pos="1134" w:val="left"/>
          <w:tab w:leader="underscore" w:pos="2672" w:val="left"/>
        </w:tabs>
        <w:spacing w:after="0" w:before="120" w:line="240" w:lineRule="auto"/>
        <w:ind w:firstLine="709" w:left="0"/>
        <w:jc w:val="center"/>
        <w:rPr>
          <w:sz w:val="28"/>
          <w:vertAlign w:val="superscript"/>
        </w:rPr>
      </w:pPr>
      <w:r>
        <w:rPr>
          <w:sz w:val="28"/>
          <w:vertAlign w:val="superscript"/>
        </w:rPr>
        <w:t xml:space="preserve">                                           </w:t>
      </w:r>
      <w:r>
        <w:rPr>
          <w:sz w:val="28"/>
          <w:vertAlign w:val="superscript"/>
        </w:rPr>
        <w:t>(</w:t>
      </w:r>
      <w:r>
        <w:rPr>
          <w:spacing w:val="0"/>
          <w:sz w:val="28"/>
          <w:vertAlign w:val="superscript"/>
        </w:rPr>
        <w:t>Ф.И.О.</w:t>
      </w:r>
      <w:r>
        <w:rPr>
          <w:sz w:val="28"/>
          <w:vertAlign w:val="superscript"/>
        </w:rPr>
        <w:t xml:space="preserve">, должность, номера контактных телефонов, </w:t>
      </w:r>
    </w:p>
    <w:p w14:paraId="4A000000">
      <w:pPr>
        <w:pStyle w:val="Style_3"/>
        <w:tabs>
          <w:tab w:leader="none" w:pos="0" w:val="left"/>
          <w:tab w:leader="none" w:pos="1134" w:val="left"/>
          <w:tab w:leader="underscore" w:pos="2672" w:val="left"/>
        </w:tabs>
        <w:spacing w:after="0" w:line="240" w:lineRule="auto"/>
        <w:ind w:firstLine="709" w:left="0"/>
        <w:jc w:val="center"/>
        <w:rPr>
          <w:sz w:val="28"/>
          <w:vertAlign w:val="superscript"/>
        </w:rPr>
      </w:pPr>
      <w:r>
        <w:rPr>
          <w:sz w:val="28"/>
          <w:vertAlign w:val="superscript"/>
        </w:rPr>
        <w:t>_________________________________________________________________________________________________</w:t>
      </w:r>
    </w:p>
    <w:p w14:paraId="4B000000">
      <w:pPr>
        <w:pStyle w:val="Style_3"/>
        <w:tabs>
          <w:tab w:leader="none" w:pos="0" w:val="left"/>
          <w:tab w:leader="none" w:pos="1134" w:val="left"/>
          <w:tab w:leader="underscore" w:pos="2672" w:val="left"/>
        </w:tabs>
        <w:spacing w:after="0" w:line="240" w:lineRule="auto"/>
        <w:ind w:firstLine="709" w:left="0"/>
        <w:jc w:val="center"/>
        <w:rPr>
          <w:sz w:val="28"/>
          <w:vertAlign w:val="superscript"/>
        </w:rPr>
      </w:pPr>
      <w:r>
        <w:rPr>
          <w:sz w:val="28"/>
          <w:vertAlign w:val="superscript"/>
        </w:rPr>
        <w:t xml:space="preserve">                          адреса факсимильной и электронной сре</w:t>
      </w:r>
      <w:r>
        <w:rPr>
          <w:sz w:val="28"/>
          <w:vertAlign w:val="superscript"/>
        </w:rPr>
        <w:t>дств св</w:t>
      </w:r>
      <w:r>
        <w:rPr>
          <w:sz w:val="28"/>
          <w:vertAlign w:val="superscript"/>
        </w:rPr>
        <w:t>язи).</w:t>
      </w:r>
    </w:p>
    <w:p w14:paraId="4C000000">
      <w:pPr>
        <w:pStyle w:val="Style_3"/>
        <w:tabs>
          <w:tab w:leader="underscore" w:pos="0" w:val="left"/>
          <w:tab w:leader="none" w:pos="1134" w:val="left"/>
        </w:tabs>
        <w:spacing w:after="0" w:line="240" w:lineRule="auto"/>
        <w:ind w:firstLine="709" w:left="0"/>
        <w:jc w:val="left"/>
        <w:rPr>
          <w:sz w:val="28"/>
        </w:rPr>
      </w:pPr>
      <w:r>
        <w:rPr>
          <w:sz w:val="28"/>
        </w:rPr>
        <w:t>от Оператора___________________________</w:t>
      </w:r>
      <w:r>
        <w:rPr>
          <w:sz w:val="28"/>
        </w:rPr>
        <w:t>_______________________</w:t>
      </w:r>
    </w:p>
    <w:p w14:paraId="4D000000">
      <w:pPr>
        <w:pStyle w:val="Style_3"/>
        <w:tabs>
          <w:tab w:leader="underscore" w:pos="0" w:val="left"/>
          <w:tab w:leader="none" w:pos="1134" w:val="left"/>
        </w:tabs>
        <w:spacing w:after="0" w:line="240" w:lineRule="auto"/>
        <w:ind w:firstLine="709" w:left="0"/>
        <w:jc w:val="center"/>
        <w:rPr>
          <w:sz w:val="28"/>
          <w:vertAlign w:val="superscript"/>
        </w:rPr>
      </w:pPr>
      <w:r>
        <w:rPr>
          <w:sz w:val="28"/>
          <w:vertAlign w:val="superscript"/>
        </w:rPr>
        <w:t xml:space="preserve">                                          </w:t>
      </w:r>
      <w:r>
        <w:rPr>
          <w:sz w:val="28"/>
          <w:vertAlign w:val="superscript"/>
        </w:rPr>
        <w:t>(</w:t>
      </w:r>
      <w:r>
        <w:rPr>
          <w:spacing w:val="0"/>
          <w:sz w:val="28"/>
          <w:vertAlign w:val="superscript"/>
        </w:rPr>
        <w:t>Ф.И.О.</w:t>
      </w:r>
      <w:r>
        <w:rPr>
          <w:sz w:val="28"/>
          <w:vertAlign w:val="superscript"/>
        </w:rPr>
        <w:t xml:space="preserve">, должность, номера контактных телефонов, </w:t>
      </w:r>
    </w:p>
    <w:p w14:paraId="4E000000">
      <w:pPr>
        <w:pStyle w:val="Style_3"/>
        <w:tabs>
          <w:tab w:leader="underscore" w:pos="0" w:val="left"/>
          <w:tab w:leader="none" w:pos="1134" w:val="left"/>
        </w:tabs>
        <w:spacing w:after="0" w:line="240" w:lineRule="auto"/>
        <w:ind w:firstLine="709" w:left="0"/>
        <w:jc w:val="center"/>
        <w:rPr>
          <w:sz w:val="28"/>
          <w:vertAlign w:val="superscript"/>
        </w:rPr>
      </w:pPr>
      <w:r>
        <w:rPr>
          <w:sz w:val="28"/>
          <w:vertAlign w:val="superscript"/>
        </w:rPr>
        <w:t>____________________________________________________________________________________________________</w:t>
      </w:r>
    </w:p>
    <w:p w14:paraId="4F000000">
      <w:pPr>
        <w:pStyle w:val="Style_3"/>
        <w:tabs>
          <w:tab w:leader="underscore" w:pos="0" w:val="left"/>
          <w:tab w:leader="none" w:pos="1134" w:val="left"/>
        </w:tabs>
        <w:spacing w:after="0" w:line="240" w:lineRule="auto"/>
        <w:ind w:firstLine="709" w:left="0"/>
        <w:jc w:val="center"/>
        <w:rPr>
          <w:sz w:val="28"/>
          <w:vertAlign w:val="superscript"/>
        </w:rPr>
      </w:pPr>
      <w:r>
        <w:rPr>
          <w:sz w:val="28"/>
          <w:vertAlign w:val="superscript"/>
        </w:rPr>
        <w:t xml:space="preserve">                          адреса факсимильной и электронной сре</w:t>
      </w:r>
      <w:r>
        <w:rPr>
          <w:sz w:val="28"/>
          <w:vertAlign w:val="superscript"/>
        </w:rPr>
        <w:t>дств св</w:t>
      </w:r>
      <w:r>
        <w:rPr>
          <w:sz w:val="28"/>
          <w:vertAlign w:val="superscript"/>
        </w:rPr>
        <w:t>язи).</w:t>
      </w:r>
    </w:p>
    <w:p w14:paraId="50000000">
      <w:pPr>
        <w:pStyle w:val="Style_3"/>
        <w:tabs>
          <w:tab w:leader="none" w:pos="0" w:val="left"/>
          <w:tab w:leader="none" w:pos="1134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 xml:space="preserve">4.7. В </w:t>
      </w:r>
      <w:r>
        <w:rPr>
          <w:sz w:val="28"/>
        </w:rPr>
        <w:t>случае</w:t>
      </w:r>
      <w:r>
        <w:rPr>
          <w:sz w:val="28"/>
        </w:rPr>
        <w:t xml:space="preserve"> необходимости сменно-суточный план по согласованию Сторон может быть скорректирован до начала его исполнения.</w:t>
      </w:r>
    </w:p>
    <w:p w14:paraId="51000000">
      <w:pPr>
        <w:pStyle w:val="Style_3"/>
        <w:tabs>
          <w:tab w:leader="none" w:pos="1134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 xml:space="preserve">4.8. По истечении суток в сменно-суточный план вносятся </w:t>
      </w:r>
      <w:r>
        <w:rPr>
          <w:sz w:val="28"/>
        </w:rPr>
        <w:t>отметки о его фактическом выполнении, которые заверяются подписями уполномоченных лиц Сторон.</w:t>
      </w:r>
    </w:p>
    <w:p w14:paraId="52000000">
      <w:pPr>
        <w:pStyle w:val="Style_3"/>
        <w:spacing w:after="0" w:line="240" w:lineRule="auto"/>
        <w:ind w:firstLine="709" w:left="0"/>
        <w:jc w:val="both"/>
      </w:pPr>
      <w:r>
        <w:rPr>
          <w:sz w:val="28"/>
        </w:rPr>
        <w:t>4.9.</w:t>
      </w:r>
      <w:r>
        <w:rPr>
          <w:b w:val="1"/>
          <w:sz w:val="28"/>
        </w:rPr>
        <w:t xml:space="preserve"> </w:t>
      </w:r>
      <w:r>
        <w:rPr>
          <w:sz w:val="28"/>
        </w:rPr>
        <w:t xml:space="preserve">В </w:t>
      </w:r>
      <w:r>
        <w:rPr>
          <w:sz w:val="28"/>
        </w:rPr>
        <w:t>случае</w:t>
      </w:r>
      <w:r>
        <w:rPr>
          <w:sz w:val="28"/>
        </w:rPr>
        <w:t xml:space="preserve"> несогласования Сторонами сменно-суточного плана подача/уборка вагонов осуществляется Перевозчиком исходя из перерабатывающей способности Оператора,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с учетом технических и технологических возможностей Оператора и припортовой железнодорожной инфраструктуры.</w:t>
      </w:r>
    </w:p>
    <w:p w14:paraId="53000000">
      <w:pPr>
        <w:pStyle w:val="Style_3"/>
        <w:spacing w:after="0" w:line="240" w:lineRule="auto"/>
        <w:ind w:firstLine="709" w:left="0"/>
        <w:jc w:val="both"/>
      </w:pPr>
    </w:p>
    <w:p w14:paraId="54000000">
      <w:pPr>
        <w:pStyle w:val="Style_3"/>
        <w:spacing w:after="0" w:line="240" w:lineRule="auto"/>
        <w:ind w:firstLine="709" w:left="0"/>
        <w:jc w:val="both"/>
      </w:pPr>
      <w:r>
        <w:rPr>
          <w:b w:val="1"/>
          <w:sz w:val="28"/>
        </w:rPr>
        <w:t xml:space="preserve">5. Порядок организации подачи и уборки вагонов, эксплуатации железнодорожного пути </w:t>
      </w:r>
      <w:r>
        <w:rPr>
          <w:b w:val="1"/>
          <w:sz w:val="28"/>
        </w:rPr>
        <w:t>необщего</w:t>
      </w:r>
      <w:r>
        <w:rPr>
          <w:b w:val="1"/>
          <w:sz w:val="28"/>
        </w:rPr>
        <w:t xml:space="preserve"> пользования.</w:t>
      </w:r>
    </w:p>
    <w:p w14:paraId="55000000">
      <w:pPr>
        <w:pStyle w:val="Style_3"/>
        <w:numPr>
          <w:ilvl w:val="1"/>
          <w:numId w:val="6"/>
        </w:numPr>
        <w:tabs>
          <w:tab w:leader="none" w:pos="1134" w:val="left"/>
        </w:tabs>
        <w:spacing w:after="0" w:line="240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 В </w:t>
      </w:r>
      <w:r>
        <w:rPr>
          <w:sz w:val="28"/>
        </w:rPr>
        <w:t>соответствии</w:t>
      </w:r>
      <w:r>
        <w:rPr>
          <w:sz w:val="28"/>
        </w:rPr>
        <w:t xml:space="preserve"> с настоящим Договором осущ</w:t>
      </w:r>
      <w:r>
        <w:rPr>
          <w:sz w:val="28"/>
        </w:rPr>
        <w:t>ествляется подача вагонов локомотивом Перевозчика на железнодорожные выставочные пути (далее – выставочные пути) №____________. Дальнейшая расстановка вагонов на места погрузки/выгрузки с выставочного пути производится локомотивом Оператора. После окончани</w:t>
      </w:r>
      <w:r>
        <w:rPr>
          <w:sz w:val="28"/>
        </w:rPr>
        <w:t>я грузовых операций вагоны подаются локомотивом Оператора на выставочные пути. Готовые к уборке вагоны убираются локомотивом Перевозчика с выставочных путей.</w:t>
      </w:r>
    </w:p>
    <w:p w14:paraId="56000000">
      <w:pPr>
        <w:pStyle w:val="Style_3"/>
        <w:numPr>
          <w:ilvl w:val="1"/>
          <w:numId w:val="6"/>
        </w:numPr>
        <w:tabs>
          <w:tab w:leader="none" w:pos="1134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 xml:space="preserve"> Сигнальный знак «Граница железнодорожного подъездного пути» устанавливается _________ (место уста</w:t>
      </w:r>
      <w:r>
        <w:rPr>
          <w:sz w:val="28"/>
        </w:rPr>
        <w:t>новки знака).</w:t>
      </w:r>
    </w:p>
    <w:p w14:paraId="57000000">
      <w:pPr>
        <w:pStyle w:val="Style_3"/>
        <w:numPr>
          <w:ilvl w:val="1"/>
          <w:numId w:val="6"/>
        </w:numPr>
        <w:tabs>
          <w:tab w:leader="none" w:pos="1134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 xml:space="preserve"> Развернутая длина железнодорожного пути </w:t>
      </w:r>
      <w:r>
        <w:rPr>
          <w:sz w:val="28"/>
        </w:rPr>
        <w:t>необщего</w:t>
      </w:r>
      <w:r>
        <w:rPr>
          <w:sz w:val="28"/>
        </w:rPr>
        <w:t xml:space="preserve"> пользования, примыкающего к выставочному пути №______ железнодорожной станции (далее – станция) стрелочным переводом №____ (либо расположенном на продолжении пути № _______ станции), составляе</w:t>
      </w:r>
      <w:r>
        <w:rPr>
          <w:sz w:val="28"/>
        </w:rPr>
        <w:t xml:space="preserve">т ____ </w:t>
      </w:r>
      <w:r>
        <w:rPr>
          <w:sz w:val="28"/>
        </w:rPr>
        <w:t>м</w:t>
      </w:r>
      <w:r>
        <w:rPr>
          <w:sz w:val="28"/>
        </w:rPr>
        <w:t>, в том числе принадлежащая владельцу инфраструктуры железнодорожного транспорта общего пользования (далее – владелец инфраструктуры) – ____ м, принадлежащая Оператору – ___ м.</w:t>
      </w:r>
    </w:p>
    <w:p w14:paraId="58000000">
      <w:pPr>
        <w:pStyle w:val="Style_3"/>
        <w:numPr>
          <w:ilvl w:val="1"/>
          <w:numId w:val="6"/>
        </w:numPr>
        <w:tabs>
          <w:tab w:leader="none" w:pos="0" w:val="left"/>
          <w:tab w:leader="none" w:pos="1134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 xml:space="preserve"> Сооружения и устройства на железнодорожном пути </w:t>
      </w:r>
      <w:r>
        <w:rPr>
          <w:sz w:val="28"/>
        </w:rPr>
        <w:t>необщего</w:t>
      </w:r>
      <w:r>
        <w:rPr>
          <w:sz w:val="28"/>
        </w:rPr>
        <w:t xml:space="preserve"> пользования </w:t>
      </w:r>
      <w:r>
        <w:rPr>
          <w:sz w:val="28"/>
        </w:rPr>
        <w:t>Оператора должны соответствовать Правилам технической эксплуатации железных дорог Российской Федерации, утвержденным приказом Минтранса России от 21 декабря 2010 г. № 286.</w:t>
      </w:r>
    </w:p>
    <w:p w14:paraId="59000000">
      <w:pPr>
        <w:pStyle w:val="Style_3"/>
        <w:numPr>
          <w:ilvl w:val="1"/>
          <w:numId w:val="6"/>
        </w:numPr>
        <w:tabs>
          <w:tab w:leader="none" w:pos="0" w:val="left"/>
          <w:tab w:leader="none" w:pos="1134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 xml:space="preserve">Движение локомотивов и вагонов на железнодорожном пути </w:t>
      </w:r>
      <w:r>
        <w:rPr>
          <w:sz w:val="28"/>
        </w:rPr>
        <w:t>необщего</w:t>
      </w:r>
      <w:r>
        <w:rPr>
          <w:sz w:val="28"/>
        </w:rPr>
        <w:t xml:space="preserve"> пользования произво</w:t>
      </w:r>
      <w:r>
        <w:rPr>
          <w:sz w:val="28"/>
        </w:rPr>
        <w:t xml:space="preserve">дится Перевозчиком и (или) Оператором с соблюдением Правил технической эксплуатации железных дорог Российской Федерации, утвержденных приказом Минтранса России от 21 декабря 2010 г. № 286, Правил перевозок грузов железнодорожным транспортом и инструкции о </w:t>
      </w:r>
      <w:r>
        <w:rPr>
          <w:sz w:val="28"/>
        </w:rPr>
        <w:t xml:space="preserve">порядке обслуживания и организации движения на железнодорожном пути </w:t>
      </w:r>
      <w:r>
        <w:rPr>
          <w:sz w:val="28"/>
        </w:rPr>
        <w:t>необщего</w:t>
      </w:r>
      <w:r>
        <w:rPr>
          <w:sz w:val="28"/>
        </w:rPr>
        <w:t xml:space="preserve"> пользования, утверждаемой владельцем пути </w:t>
      </w:r>
      <w:r>
        <w:rPr>
          <w:sz w:val="28"/>
        </w:rPr>
        <w:t>необщего</w:t>
      </w:r>
      <w:r>
        <w:rPr>
          <w:sz w:val="28"/>
        </w:rPr>
        <w:t xml:space="preserve"> пользования </w:t>
      </w:r>
      <w:r>
        <w:rPr>
          <w:sz w:val="28"/>
        </w:rPr>
        <w:t>либо Перевозчиком в зависимости</w:t>
      </w:r>
      <w:r>
        <w:rPr>
          <w:sz w:val="28"/>
        </w:rPr>
        <w:t xml:space="preserve"> от принадлежности пути</w:t>
      </w:r>
      <w:r>
        <w:rPr>
          <w:rFonts w:ascii="Calibri" w:hAnsi="Calibri"/>
          <w:sz w:val="28"/>
        </w:rPr>
        <w:t>.</w:t>
      </w:r>
      <w:r>
        <w:t xml:space="preserve"> </w:t>
      </w:r>
    </w:p>
    <w:p w14:paraId="5A000000">
      <w:pPr>
        <w:pStyle w:val="Style_3"/>
        <w:numPr>
          <w:ilvl w:val="1"/>
          <w:numId w:val="6"/>
        </w:numPr>
        <w:tabs>
          <w:tab w:leader="none" w:pos="1134" w:val="left"/>
          <w:tab w:leader="none" w:pos="1418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 xml:space="preserve"> Подача вагонов для Оператора на выставочный путь производи</w:t>
      </w:r>
      <w:r>
        <w:rPr>
          <w:sz w:val="28"/>
        </w:rPr>
        <w:t xml:space="preserve">тся в соответствии со сменно-суточным планом по уведомлению с указанием времени подачи вагонов, их количества, номеров вагонов и наименовании грузов. </w:t>
      </w:r>
    </w:p>
    <w:p w14:paraId="5B000000">
      <w:pPr>
        <w:pStyle w:val="Style_3"/>
        <w:tabs>
          <w:tab w:leader="none" w:pos="1134" w:val="left"/>
          <w:tab w:leader="none" w:pos="1418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color w:themeColor="text1" w:val="000000"/>
          <w:sz w:val="28"/>
        </w:rPr>
        <w:t>Уведомление о времени подачи вагонов передается не позднее, чем за 2 часа до подачи способом, согласованн</w:t>
      </w:r>
      <w:r>
        <w:rPr>
          <w:color w:themeColor="text1" w:val="000000"/>
          <w:sz w:val="28"/>
        </w:rPr>
        <w:t>ым Сторонами и обеспечивающим подтверждение его получения.</w:t>
      </w:r>
    </w:p>
    <w:p w14:paraId="5C000000">
      <w:pPr>
        <w:pStyle w:val="Style_3"/>
        <w:tabs>
          <w:tab w:leader="none" w:pos="1134" w:val="left"/>
          <w:tab w:leader="none" w:pos="1418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>Подача Перевозчиком вагонов на выставочный путь без уведомления</w:t>
      </w:r>
      <w:r>
        <w:rPr>
          <w:b w:val="1"/>
          <w:sz w:val="28"/>
        </w:rPr>
        <w:t xml:space="preserve"> </w:t>
      </w:r>
      <w:r>
        <w:rPr>
          <w:sz w:val="28"/>
        </w:rPr>
        <w:t>не допускается.</w:t>
      </w:r>
    </w:p>
    <w:p w14:paraId="5D000000">
      <w:pPr>
        <w:pStyle w:val="Style_3"/>
        <w:tabs>
          <w:tab w:leader="none" w:pos="1134" w:val="left"/>
          <w:tab w:leader="none" w:pos="1418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>При подаче Перевозчиком вагонов на выставочный путь ранее времени, указанного в уведомлении о времени подачи вагонов,</w:t>
      </w:r>
      <w:r>
        <w:rPr>
          <w:sz w:val="28"/>
        </w:rPr>
        <w:t xml:space="preserve"> вагоны учитываются за Оператором со времени подачи, указанном в уведомлении.</w:t>
      </w:r>
    </w:p>
    <w:p w14:paraId="5E000000">
      <w:pPr>
        <w:pStyle w:val="Style_3"/>
        <w:tabs>
          <w:tab w:leader="none" w:pos="1134" w:val="left"/>
          <w:tab w:leader="none" w:pos="1418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>При подаче вагонов на выставочный путь позже времени, указанного в уведомлении о времени подачи вагонов, но не более</w:t>
      </w:r>
      <w:r>
        <w:rPr>
          <w:sz w:val="28"/>
        </w:rPr>
        <w:t>,</w:t>
      </w:r>
      <w:r>
        <w:rPr>
          <w:sz w:val="28"/>
        </w:rPr>
        <w:t xml:space="preserve"> чем на 2 часа, вагоны учитываются за Оператором со времени ф</w:t>
      </w:r>
      <w:r>
        <w:rPr>
          <w:sz w:val="28"/>
        </w:rPr>
        <w:t>актической подачи вагонов на выставочный путь.</w:t>
      </w:r>
    </w:p>
    <w:p w14:paraId="5F000000">
      <w:pPr>
        <w:pStyle w:val="Style_3"/>
        <w:tabs>
          <w:tab w:leader="none" w:pos="1134" w:val="left"/>
          <w:tab w:leader="none" w:pos="1418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>Если опоздание подачи вагонов превышает 2 часа, Перевозчик обязан вновь уведомить Оператора о предстоящей подаче.</w:t>
      </w:r>
    </w:p>
    <w:p w14:paraId="60000000">
      <w:pPr>
        <w:pStyle w:val="Style_3"/>
        <w:tabs>
          <w:tab w:leader="none" w:pos="1134" w:val="left"/>
        </w:tabs>
        <w:spacing w:after="0" w:line="240" w:lineRule="auto"/>
        <w:ind w:firstLine="709" w:left="0" w:right="20"/>
        <w:jc w:val="both"/>
        <w:rPr>
          <w:strike w:val="1"/>
          <w:sz w:val="28"/>
        </w:rPr>
      </w:pPr>
      <w:r>
        <w:rPr>
          <w:sz w:val="28"/>
        </w:rPr>
        <w:t xml:space="preserve">5.7. Сдаваемые на железнодорожный путь </w:t>
      </w:r>
      <w:r>
        <w:rPr>
          <w:sz w:val="28"/>
        </w:rPr>
        <w:t>необщего</w:t>
      </w:r>
      <w:r>
        <w:rPr>
          <w:sz w:val="28"/>
        </w:rPr>
        <w:t xml:space="preserve"> пользования вагоны подаются локомотивом Перевоз</w:t>
      </w:r>
      <w:r>
        <w:rPr>
          <w:sz w:val="28"/>
        </w:rPr>
        <w:t>чика на выставочные пути</w:t>
      </w:r>
      <w:r>
        <w:rPr>
          <w:color w:val="FF0000"/>
          <w:sz w:val="28"/>
        </w:rPr>
        <w:t xml:space="preserve"> </w:t>
      </w:r>
      <w:r>
        <w:rPr>
          <w:sz w:val="28"/>
        </w:rPr>
        <w:t>___________________ (номера путей, их местонахождение) где осуществляется их осмотр и передача Оператору.</w:t>
      </w:r>
    </w:p>
    <w:p w14:paraId="61000000">
      <w:pPr>
        <w:pStyle w:val="Style_3"/>
        <w:tabs>
          <w:tab w:leader="none" w:pos="1134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>Перевозчиком одновременно подается Оператору на выставочный путь не более ________ вагонов.</w:t>
      </w:r>
    </w:p>
    <w:p w14:paraId="62000000">
      <w:pPr>
        <w:pStyle w:val="Style_3"/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>Пода</w:t>
      </w:r>
      <w:r>
        <w:rPr>
          <w:sz w:val="28"/>
        </w:rPr>
        <w:t>ча Перевозчиком Оператору вагонов, получателем которых последний не является, а также порожних вагонов любой принадлежности, признанных технически неисправными, считается несогласованной подачей (несогласованные вагоны).</w:t>
      </w:r>
    </w:p>
    <w:p w14:paraId="63000000">
      <w:pPr>
        <w:pStyle w:val="Style_3"/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>Вагоны, количество которых в подаче</w:t>
      </w:r>
      <w:r>
        <w:rPr>
          <w:sz w:val="28"/>
        </w:rPr>
        <w:t xml:space="preserve"> превышает согласованное значение в сменно-суточном плане, учитываются в числе поданных вагонов в следующей подаче.</w:t>
      </w:r>
    </w:p>
    <w:p w14:paraId="64000000">
      <w:pPr>
        <w:pStyle w:val="Style_3"/>
        <w:tabs>
          <w:tab w:leader="none" w:pos="1134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>5.8. Уборка вагонов Оператора осуществляется по уведомлению о готовности вагонов к уборке с выставочного пути, которое Оператор передает Пер</w:t>
      </w:r>
      <w:r>
        <w:rPr>
          <w:sz w:val="28"/>
        </w:rPr>
        <w:t>евозчику любым способом, согласованным Сторонами и обеспечивающим подтверждение его получения, в котором указываются количество и номера вагонов, вид груза (на груженый вагон), время окончания грузовой операции.</w:t>
      </w:r>
    </w:p>
    <w:p w14:paraId="65000000">
      <w:pPr>
        <w:pStyle w:val="Style_3"/>
        <w:tabs>
          <w:tab w:leader="none" w:pos="1134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 xml:space="preserve">5.9. С железнодорожного пути </w:t>
      </w:r>
      <w:r>
        <w:rPr>
          <w:sz w:val="28"/>
        </w:rPr>
        <w:t>необщего</w:t>
      </w:r>
      <w:r>
        <w:rPr>
          <w:sz w:val="28"/>
        </w:rPr>
        <w:t xml:space="preserve"> пользо</w:t>
      </w:r>
      <w:r>
        <w:rPr>
          <w:sz w:val="28"/>
        </w:rPr>
        <w:t xml:space="preserve">вания вагоны выводятся Оператором на выставочный путь в количестве не менее _____, но не более ____. </w:t>
      </w:r>
    </w:p>
    <w:p w14:paraId="66000000">
      <w:pPr>
        <w:pStyle w:val="Style_3"/>
        <w:tabs>
          <w:tab w:leader="none" w:pos="1134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>Принятые в соответствии с правилами перевозок грузов железнодорожным транспортом вагоны выводятся Перевозчиком с выставочного пути в течение ____ часов по</w:t>
      </w:r>
      <w:r>
        <w:rPr>
          <w:sz w:val="28"/>
        </w:rPr>
        <w:t>сле получения Перевозчиком уведомления от Оператора о готовности вагонов к уборке.</w:t>
      </w:r>
    </w:p>
    <w:p w14:paraId="67000000">
      <w:pPr>
        <w:tabs>
          <w:tab w:leader="underscore" w:pos="993" w:val="left"/>
        </w:tabs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Вагоны считаются готовыми к уборке после их выгрузки, очистки от остатков перевозимого груза и реквизитов крепления, удаления </w:t>
      </w:r>
      <w:r>
        <w:rPr>
          <w:rFonts w:ascii="Times New Roman" w:hAnsi="Times New Roman"/>
          <w:sz w:val="28"/>
        </w:rPr>
        <w:t xml:space="preserve">меловых надписей, закрытия бортов, дверей и люков, наложения запорно-пломбировочных устройств, закруток (при необходимости), а при погрузке – после проверки Перевозчиком размещения и крепления грузов в соответствии с техническими условиями, нанесения всех </w:t>
      </w:r>
      <w:r>
        <w:rPr>
          <w:rFonts w:ascii="Times New Roman" w:hAnsi="Times New Roman"/>
          <w:sz w:val="28"/>
        </w:rPr>
        <w:t>необходимых надписей и маркировки, наложения запорно-пломбировочных устройств, закруток (при необходимости), а также при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наличии</w:t>
      </w:r>
      <w:r>
        <w:rPr>
          <w:rFonts w:ascii="Times New Roman" w:hAnsi="Times New Roman"/>
          <w:sz w:val="28"/>
        </w:rPr>
        <w:t xml:space="preserve"> предоставленных Оператором перевозочных документов.</w:t>
      </w:r>
    </w:p>
    <w:p w14:paraId="68000000">
      <w:pPr>
        <w:pStyle w:val="Style_3"/>
        <w:tabs>
          <w:tab w:leader="none" w:pos="0" w:val="left"/>
          <w:tab w:leader="none" w:pos="1276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 xml:space="preserve">5.10. На железнодорожном пути </w:t>
      </w:r>
      <w:r>
        <w:rPr>
          <w:sz w:val="28"/>
        </w:rPr>
        <w:t>необщего</w:t>
      </w:r>
      <w:r>
        <w:rPr>
          <w:sz w:val="28"/>
        </w:rPr>
        <w:t xml:space="preserve"> пользования устанавливается технолог</w:t>
      </w:r>
      <w:r>
        <w:rPr>
          <w:sz w:val="28"/>
        </w:rPr>
        <w:t xml:space="preserve">ический срок оборота вагонов ________ часов, включающий в себя нормативы времени </w:t>
      </w:r>
      <w:r>
        <w:rPr>
          <w:sz w:val="28"/>
        </w:rPr>
        <w:t>на</w:t>
      </w:r>
      <w:r>
        <w:rPr>
          <w:sz w:val="28"/>
        </w:rPr>
        <w:t>:</w:t>
      </w:r>
    </w:p>
    <w:p w14:paraId="69000000">
      <w:pPr>
        <w:pStyle w:val="Style_6"/>
        <w:numPr>
          <w:ilvl w:val="0"/>
          <w:numId w:val="7"/>
        </w:numPr>
        <w:tabs>
          <w:tab w:leader="none" w:pos="0" w:val="left"/>
          <w:tab w:leader="none" w:pos="550" w:val="left"/>
          <w:tab w:leader="underscore" w:pos="851" w:val="left"/>
          <w:tab w:leader="none" w:pos="1134" w:val="left"/>
        </w:tabs>
        <w:spacing w:line="240" w:lineRule="auto"/>
        <w:ind w:firstLine="709" w:left="0"/>
        <w:rPr>
          <w:sz w:val="28"/>
        </w:rPr>
      </w:pPr>
      <w:r>
        <w:rPr>
          <w:sz w:val="28"/>
        </w:rPr>
        <w:t xml:space="preserve"> расформирование составов по грузоотправителям (грузополучателям</w:t>
      </w:r>
      <w:r>
        <w:rPr>
          <w:sz w:val="28"/>
        </w:rPr>
        <w:t>) – _____________;</w:t>
      </w:r>
    </w:p>
    <w:p w14:paraId="6A000000">
      <w:pPr>
        <w:pStyle w:val="Style_6"/>
        <w:numPr>
          <w:ilvl w:val="0"/>
          <w:numId w:val="7"/>
        </w:numPr>
        <w:tabs>
          <w:tab w:leader="none" w:pos="0" w:val="left"/>
          <w:tab w:leader="underscore" w:pos="851" w:val="left"/>
          <w:tab w:leader="none" w:pos="1134" w:val="left"/>
        </w:tabs>
        <w:spacing w:line="240" w:lineRule="auto"/>
        <w:ind w:firstLine="709" w:left="0"/>
        <w:rPr>
          <w:sz w:val="28"/>
        </w:rPr>
      </w:pPr>
      <w:r>
        <w:rPr>
          <w:sz w:val="28"/>
        </w:rPr>
        <w:t>подачу и уборку вагонов</w:t>
      </w:r>
      <w:r>
        <w:rPr>
          <w:sz w:val="28"/>
        </w:rPr>
        <w:t xml:space="preserve"> – ____________;</w:t>
      </w:r>
    </w:p>
    <w:p w14:paraId="6B000000">
      <w:pPr>
        <w:pStyle w:val="Style_6"/>
        <w:numPr>
          <w:ilvl w:val="0"/>
          <w:numId w:val="7"/>
        </w:numPr>
        <w:tabs>
          <w:tab w:leader="none" w:pos="0" w:val="left"/>
          <w:tab w:leader="underscore" w:pos="851" w:val="left"/>
          <w:tab w:leader="none" w:pos="1134" w:val="left"/>
        </w:tabs>
        <w:spacing w:line="240" w:lineRule="auto"/>
        <w:ind w:firstLine="709" w:left="0"/>
        <w:rPr>
          <w:sz w:val="28"/>
        </w:rPr>
      </w:pPr>
      <w:r>
        <w:rPr>
          <w:sz w:val="28"/>
        </w:rPr>
        <w:t xml:space="preserve">осуществление операций по приему и </w:t>
      </w:r>
      <w:r>
        <w:rPr>
          <w:color w:val="000000"/>
          <w:sz w:val="28"/>
        </w:rPr>
        <w:t>выдаче гружен</w:t>
      </w:r>
      <w:r>
        <w:rPr>
          <w:color w:val="000000"/>
          <w:sz w:val="28"/>
        </w:rPr>
        <w:t>ых и порожних вагонов</w:t>
      </w:r>
      <w:r>
        <w:rPr>
          <w:color w:val="000000"/>
          <w:sz w:val="28"/>
        </w:rPr>
        <w:t xml:space="preserve"> – ________________. </w:t>
      </w:r>
      <w:r>
        <w:rPr>
          <w:color w:val="000000"/>
          <w:sz w:val="28"/>
        </w:rPr>
        <w:t>Прием и выдача грузов, порожних вагонов осуществляется в соответствии с Уставом железнодорожного транспорта и Правилами выдачи грузов на железнодорожном транспорте, утвержденными приказом МПС России от 18 июня 2003</w:t>
      </w:r>
      <w:r>
        <w:rPr>
          <w:color w:val="000000"/>
          <w:sz w:val="28"/>
        </w:rPr>
        <w:t xml:space="preserve"> г. № 29</w:t>
      </w:r>
      <w:r>
        <w:rPr>
          <w:sz w:val="28"/>
        </w:rPr>
        <w:t>;</w:t>
      </w:r>
    </w:p>
    <w:p w14:paraId="6C000000">
      <w:pPr>
        <w:pStyle w:val="Style_6"/>
        <w:numPr>
          <w:ilvl w:val="0"/>
          <w:numId w:val="7"/>
        </w:numPr>
        <w:tabs>
          <w:tab w:leader="none" w:pos="0" w:val="left"/>
          <w:tab w:leader="none" w:pos="554" w:val="left"/>
          <w:tab w:leader="underscore" w:pos="851" w:val="left"/>
          <w:tab w:leader="none" w:pos="1134" w:val="left"/>
        </w:tabs>
        <w:spacing w:line="240" w:lineRule="auto"/>
        <w:ind w:firstLine="709" w:left="0"/>
        <w:rPr>
          <w:sz w:val="28"/>
        </w:rPr>
      </w:pPr>
      <w:r>
        <w:rPr>
          <w:sz w:val="28"/>
        </w:rPr>
        <w:t>перестановку вагонов по фронтам погрузки/выгрузки Оператора</w:t>
      </w:r>
      <w:r>
        <w:rPr>
          <w:sz w:val="28"/>
        </w:rPr>
        <w:t xml:space="preserve"> – _____________________;</w:t>
      </w:r>
    </w:p>
    <w:p w14:paraId="6D000000">
      <w:pPr>
        <w:pStyle w:val="Style_6"/>
        <w:numPr>
          <w:ilvl w:val="0"/>
          <w:numId w:val="7"/>
        </w:numPr>
        <w:tabs>
          <w:tab w:leader="none" w:pos="0" w:val="left"/>
          <w:tab w:leader="none" w:pos="554" w:val="left"/>
          <w:tab w:leader="underscore" w:pos="851" w:val="left"/>
          <w:tab w:leader="none" w:pos="1134" w:val="left"/>
        </w:tabs>
        <w:spacing w:line="240" w:lineRule="auto"/>
        <w:ind w:firstLine="709" w:left="0"/>
        <w:rPr>
          <w:sz w:val="28"/>
        </w:rPr>
      </w:pPr>
      <w:r>
        <w:rPr>
          <w:sz w:val="28"/>
        </w:rPr>
        <w:t>оформление и выдачу документов</w:t>
      </w:r>
      <w:r>
        <w:rPr>
          <w:sz w:val="28"/>
        </w:rPr>
        <w:t xml:space="preserve"> – _____________________________;</w:t>
      </w:r>
    </w:p>
    <w:p w14:paraId="6E000000">
      <w:pPr>
        <w:pStyle w:val="Style_6"/>
        <w:numPr>
          <w:ilvl w:val="0"/>
          <w:numId w:val="7"/>
        </w:numPr>
        <w:tabs>
          <w:tab w:leader="none" w:pos="554" w:val="left"/>
          <w:tab w:leader="underscore" w:pos="851" w:val="left"/>
          <w:tab w:leader="none" w:pos="1134" w:val="left"/>
        </w:tabs>
        <w:spacing w:line="240" w:lineRule="auto"/>
        <w:ind w:firstLine="709" w:left="0"/>
        <w:rPr>
          <w:sz w:val="28"/>
        </w:rPr>
      </w:pPr>
      <w:r>
        <w:rPr>
          <w:sz w:val="28"/>
        </w:rPr>
        <w:t>подачу вагонов на весы и уборку вагонов с весов</w:t>
      </w:r>
      <w:r>
        <w:rPr>
          <w:sz w:val="28"/>
        </w:rPr>
        <w:t xml:space="preserve"> – _________________;</w:t>
      </w:r>
    </w:p>
    <w:p w14:paraId="6F000000">
      <w:pPr>
        <w:pStyle w:val="Style_6"/>
        <w:numPr>
          <w:ilvl w:val="0"/>
          <w:numId w:val="7"/>
        </w:numPr>
        <w:tabs>
          <w:tab w:leader="none" w:pos="554" w:val="left"/>
          <w:tab w:leader="underscore" w:pos="851" w:val="left"/>
          <w:tab w:leader="none" w:pos="1134" w:val="left"/>
        </w:tabs>
        <w:spacing w:line="240" w:lineRule="auto"/>
        <w:ind w:firstLine="709" w:left="0"/>
        <w:rPr>
          <w:sz w:val="28"/>
        </w:rPr>
      </w:pPr>
      <w:r>
        <w:rPr>
          <w:sz w:val="28"/>
        </w:rPr>
        <w:t>оборудование вагонов под пог</w:t>
      </w:r>
      <w:r>
        <w:rPr>
          <w:sz w:val="28"/>
        </w:rPr>
        <w:t>рузку грузов</w:t>
      </w:r>
      <w:r>
        <w:rPr>
          <w:sz w:val="28"/>
        </w:rPr>
        <w:t xml:space="preserve"> – _____________________;</w:t>
      </w:r>
    </w:p>
    <w:p w14:paraId="70000000">
      <w:pPr>
        <w:pStyle w:val="Style_6"/>
        <w:numPr>
          <w:ilvl w:val="0"/>
          <w:numId w:val="7"/>
        </w:numPr>
        <w:tabs>
          <w:tab w:leader="none" w:pos="554" w:val="left"/>
          <w:tab w:leader="underscore" w:pos="851" w:val="left"/>
          <w:tab w:leader="none" w:pos="1134" w:val="left"/>
        </w:tabs>
        <w:spacing w:line="240" w:lineRule="auto"/>
        <w:ind w:firstLine="709" w:left="0"/>
        <w:rPr>
          <w:sz w:val="28"/>
        </w:rPr>
      </w:pPr>
      <w:r>
        <w:rPr>
          <w:sz w:val="28"/>
        </w:rPr>
        <w:t>погрузку грузов в вагоны, выгрузку грузов из вагонов</w:t>
      </w:r>
      <w:r>
        <w:rPr>
          <w:sz w:val="28"/>
        </w:rPr>
        <w:t xml:space="preserve"> – ____________;</w:t>
      </w:r>
    </w:p>
    <w:p w14:paraId="71000000">
      <w:pPr>
        <w:pStyle w:val="Style_6"/>
        <w:numPr>
          <w:ilvl w:val="0"/>
          <w:numId w:val="7"/>
        </w:numPr>
        <w:tabs>
          <w:tab w:leader="none" w:pos="692" w:val="left"/>
          <w:tab w:leader="underscore" w:pos="851" w:val="left"/>
          <w:tab w:leader="none" w:pos="1134" w:val="left"/>
        </w:tabs>
        <w:spacing w:line="240" w:lineRule="auto"/>
        <w:ind w:firstLine="709" w:left="0" w:right="20"/>
        <w:rPr>
          <w:sz w:val="28"/>
        </w:rPr>
      </w:pPr>
      <w:r>
        <w:rPr>
          <w:sz w:val="28"/>
        </w:rPr>
        <w:t>очистку вагонов от приспособлений для погрузки, размещения, крепления и перевозки грузов, остатков от ранее перевезенных грузов</w:t>
      </w:r>
      <w:r>
        <w:rPr>
          <w:sz w:val="28"/>
        </w:rPr>
        <w:t xml:space="preserve"> – ______;</w:t>
      </w:r>
    </w:p>
    <w:p w14:paraId="72000000">
      <w:pPr>
        <w:pStyle w:val="Style_3"/>
        <w:numPr>
          <w:ilvl w:val="0"/>
          <w:numId w:val="7"/>
        </w:numPr>
        <w:tabs>
          <w:tab w:leader="none" w:pos="851" w:val="left"/>
          <w:tab w:leader="none" w:pos="1134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 xml:space="preserve">осмотр вагонов, контейнеров в части их пригодности в коммерческом отношении и технической пригодности для погрузки </w:t>
      </w:r>
      <w:r>
        <w:rPr>
          <w:sz w:val="28"/>
        </w:rPr>
        <w:br/>
      </w:r>
      <w:r>
        <w:rPr>
          <w:sz w:val="28"/>
        </w:rPr>
        <w:t>грузов – ______.</w:t>
      </w:r>
    </w:p>
    <w:p w14:paraId="73000000">
      <w:pPr>
        <w:pStyle w:val="Style_5"/>
        <w:spacing w:line="240" w:lineRule="auto"/>
        <w:ind w:firstLine="709" w:left="0" w:right="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5.11. Протяженность железнодорожного пути </w:t>
      </w:r>
      <w:r>
        <w:rPr>
          <w:rFonts w:ascii="Times New Roman" w:hAnsi="Times New Roman"/>
          <w:sz w:val="28"/>
        </w:rPr>
        <w:t>необщего</w:t>
      </w:r>
      <w:r>
        <w:rPr>
          <w:rFonts w:ascii="Times New Roman" w:hAnsi="Times New Roman"/>
          <w:sz w:val="28"/>
        </w:rPr>
        <w:t xml:space="preserve"> пользования, принадлежащего владельцу инфраструктуры, за которую Перевоз</w:t>
      </w:r>
      <w:r>
        <w:rPr>
          <w:rFonts w:ascii="Times New Roman" w:hAnsi="Times New Roman"/>
          <w:sz w:val="28"/>
        </w:rPr>
        <w:t xml:space="preserve">чиком взимается плата за использование, составляет ________ </w:t>
      </w:r>
      <w:r>
        <w:rPr>
          <w:rFonts w:ascii="Times New Roman" w:hAnsi="Times New Roman"/>
          <w:sz w:val="28"/>
        </w:rPr>
        <w:t>м</w:t>
      </w:r>
      <w:r>
        <w:rPr>
          <w:rFonts w:ascii="Times New Roman" w:hAnsi="Times New Roman"/>
          <w:sz w:val="28"/>
        </w:rPr>
        <w:t>.</w:t>
      </w:r>
    </w:p>
    <w:p w14:paraId="74000000">
      <w:pPr>
        <w:pStyle w:val="Style_3"/>
        <w:tabs>
          <w:tab w:leader="none" w:pos="996" w:val="left"/>
          <w:tab w:leader="none" w:pos="1276" w:val="left"/>
        </w:tabs>
        <w:spacing w:after="0" w:line="240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Для начисления сбора за подачу и уборку вагонов Оператором присваивается железнодорожному пути </w:t>
      </w:r>
      <w:r>
        <w:rPr>
          <w:sz w:val="28"/>
        </w:rPr>
        <w:t>необщего</w:t>
      </w:r>
      <w:r>
        <w:rPr>
          <w:sz w:val="28"/>
        </w:rPr>
        <w:t xml:space="preserve"> пользования ______ группа. Группа железнодорожного пути </w:t>
      </w:r>
      <w:r>
        <w:rPr>
          <w:sz w:val="28"/>
        </w:rPr>
        <w:t>необщего</w:t>
      </w:r>
      <w:r>
        <w:rPr>
          <w:sz w:val="28"/>
        </w:rPr>
        <w:t xml:space="preserve"> пользования и ставка сбо</w:t>
      </w:r>
      <w:r>
        <w:rPr>
          <w:sz w:val="28"/>
        </w:rPr>
        <w:t>ра за подачу и уборку вагонов пересматривается _____________ (указывается периодичность пересмотра).</w:t>
      </w:r>
    </w:p>
    <w:p w14:paraId="75000000">
      <w:pPr>
        <w:pStyle w:val="Style_3"/>
        <w:tabs>
          <w:tab w:leader="none" w:pos="996" w:val="left"/>
          <w:tab w:leader="none" w:pos="1276" w:val="left"/>
        </w:tabs>
        <w:spacing w:after="0" w:line="240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Расстояние, за которое Перевозчиком взимается с Оператора сбор за подачу и уборку вагонов составляет_________ </w:t>
      </w:r>
      <w:r>
        <w:rPr>
          <w:sz w:val="28"/>
        </w:rPr>
        <w:t>м</w:t>
      </w:r>
      <w:r>
        <w:rPr>
          <w:sz w:val="28"/>
        </w:rPr>
        <w:t xml:space="preserve"> в оба конца, в том числе ______ м, принадле</w:t>
      </w:r>
      <w:r>
        <w:rPr>
          <w:sz w:val="28"/>
        </w:rPr>
        <w:t>жащих Оператору, и _______ м, принадлежащих владельцу инфраструктуры.</w:t>
      </w:r>
    </w:p>
    <w:p w14:paraId="76000000">
      <w:pPr>
        <w:pStyle w:val="Style_3"/>
        <w:numPr>
          <w:ilvl w:val="1"/>
          <w:numId w:val="8"/>
        </w:numPr>
        <w:tabs>
          <w:tab w:leader="none" w:pos="0" w:val="left"/>
          <w:tab w:leader="none" w:pos="1276" w:val="left"/>
          <w:tab w:leader="none" w:pos="1381" w:val="left"/>
          <w:tab w:leader="none" w:pos="9214" w:val="left"/>
        </w:tabs>
        <w:spacing w:after="0" w:line="240" w:lineRule="auto"/>
        <w:ind w:firstLine="709" w:left="0" w:right="-1"/>
        <w:jc w:val="both"/>
        <w:rPr>
          <w:sz w:val="28"/>
        </w:rPr>
      </w:pPr>
      <w:r>
        <w:rPr>
          <w:sz w:val="28"/>
        </w:rPr>
        <w:t xml:space="preserve"> Стороны обязаны письменно уведомить друг друга об условиях, влияющих на осуществление погрузки грузов в вагоны, выгрузки грузов из вагонов и выполнение других работ и операций.</w:t>
      </w:r>
    </w:p>
    <w:p w14:paraId="77000000">
      <w:pPr>
        <w:pStyle w:val="Style_3"/>
        <w:tabs>
          <w:tab w:leader="none" w:pos="0" w:val="left"/>
          <w:tab w:leader="none" w:pos="1276" w:val="left"/>
          <w:tab w:leader="none" w:pos="1381" w:val="left"/>
          <w:tab w:leader="none" w:pos="9214" w:val="left"/>
        </w:tabs>
        <w:spacing w:after="0" w:line="240" w:lineRule="auto"/>
        <w:ind w:firstLine="709" w:left="0" w:right="-1"/>
        <w:jc w:val="both"/>
        <w:rPr>
          <w:sz w:val="28"/>
        </w:rPr>
      </w:pPr>
    </w:p>
    <w:p w14:paraId="78000000">
      <w:pPr>
        <w:pStyle w:val="Style_3"/>
        <w:numPr>
          <w:ilvl w:val="0"/>
          <w:numId w:val="9"/>
        </w:numPr>
        <w:tabs>
          <w:tab w:leader="none" w:pos="1276" w:val="left"/>
        </w:tabs>
        <w:spacing w:after="0" w:line="240" w:lineRule="auto"/>
        <w:ind w:firstLine="709" w:left="0" w:right="20"/>
        <w:jc w:val="both"/>
        <w:rPr>
          <w:b w:val="1"/>
          <w:sz w:val="28"/>
        </w:rPr>
      </w:pPr>
      <w:r>
        <w:rPr>
          <w:b w:val="1"/>
          <w:sz w:val="28"/>
        </w:rPr>
        <w:t>Организ</w:t>
      </w:r>
      <w:r>
        <w:rPr>
          <w:b w:val="1"/>
          <w:sz w:val="28"/>
        </w:rPr>
        <w:t>ация грузовой и коммерческой работы.</w:t>
      </w:r>
    </w:p>
    <w:p w14:paraId="79000000">
      <w:pPr>
        <w:pStyle w:val="Style_3"/>
        <w:numPr>
          <w:ilvl w:val="1"/>
          <w:numId w:val="9"/>
        </w:numPr>
        <w:tabs>
          <w:tab w:leader="none" w:pos="1276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b w:val="1"/>
          <w:sz w:val="28"/>
        </w:rPr>
        <w:t xml:space="preserve"> </w:t>
      </w:r>
      <w:r>
        <w:rPr>
          <w:sz w:val="28"/>
        </w:rPr>
        <w:t>Учет времени нахождения вагонов у Оператора производится по номерному способу на основании памяток приемосдатчика, составленных по форме ГУ-45, и актов общей формы, составленных по форме ГУ-23 (в случае их составления)</w:t>
      </w:r>
      <w:r>
        <w:rPr>
          <w:sz w:val="28"/>
        </w:rPr>
        <w:t xml:space="preserve"> и оформляемой на их основе ведомости подачи и уборки вагонов.</w:t>
      </w:r>
    </w:p>
    <w:p w14:paraId="7A000000">
      <w:pPr>
        <w:pStyle w:val="Style_3"/>
        <w:tabs>
          <w:tab w:leader="none" w:pos="1276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 xml:space="preserve">В </w:t>
      </w:r>
      <w:r>
        <w:rPr>
          <w:sz w:val="28"/>
        </w:rPr>
        <w:t>случае</w:t>
      </w:r>
      <w:r>
        <w:rPr>
          <w:sz w:val="28"/>
        </w:rPr>
        <w:t xml:space="preserve"> несогласованной</w:t>
      </w:r>
      <w:r>
        <w:rPr>
          <w:sz w:val="28"/>
        </w:rPr>
        <w:t xml:space="preserve"> подачи вагонов в памятке ставится соответствующая отметка.</w:t>
      </w:r>
    </w:p>
    <w:p w14:paraId="7B000000">
      <w:pPr>
        <w:pStyle w:val="Style_3"/>
        <w:tabs>
          <w:tab w:leader="none" w:pos="1276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>Время нахождения вагонов у Оператора исчисляется со времени, указанного в</w:t>
      </w:r>
      <w:r>
        <w:t xml:space="preserve"> </w:t>
      </w:r>
      <w:r>
        <w:rPr>
          <w:sz w:val="28"/>
        </w:rPr>
        <w:t>памятке</w:t>
      </w:r>
      <w:r>
        <w:rPr>
          <w:sz w:val="28"/>
        </w:rPr>
        <w:t xml:space="preserve"> приемосдатчика до момента предъявления Перевозчику письменного уведомления Оператора о готовности вагонов к уборке с выставочного пути.</w:t>
      </w:r>
    </w:p>
    <w:p w14:paraId="7C000000">
      <w:pPr>
        <w:pStyle w:val="Style_3"/>
        <w:numPr>
          <w:ilvl w:val="1"/>
          <w:numId w:val="9"/>
        </w:numPr>
        <w:tabs>
          <w:tab w:leader="none" w:pos="1276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>Раскредитование</w:t>
      </w:r>
      <w:r>
        <w:rPr>
          <w:sz w:val="28"/>
        </w:rPr>
        <w:t xml:space="preserve"> перевозочных документов на поступивший в адрес Оператора груз, порожние вагоны осуществляется Операторо</w:t>
      </w:r>
      <w:r>
        <w:rPr>
          <w:sz w:val="28"/>
        </w:rPr>
        <w:t>м в соответствии с Уставом, правилами перевозок грузов железнодорожным транспортом.</w:t>
      </w:r>
    </w:p>
    <w:p w14:paraId="7D000000">
      <w:pPr>
        <w:pStyle w:val="Style_3"/>
        <w:numPr>
          <w:ilvl w:val="1"/>
          <w:numId w:val="9"/>
        </w:numPr>
        <w:tabs>
          <w:tab w:leader="none" w:pos="1276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>Вагоны, находящиеся под таможенным контролем, прибывшие без таможенных деклараций на товары, транзитных деклараций, не подаются Перевозчиком на выставочные пути.</w:t>
      </w:r>
    </w:p>
    <w:p w14:paraId="7E000000">
      <w:pPr>
        <w:pStyle w:val="Style_3"/>
        <w:numPr>
          <w:ilvl w:val="1"/>
          <w:numId w:val="9"/>
        </w:numPr>
        <w:tabs>
          <w:tab w:leader="none" w:pos="1276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>Вагоны, пр</w:t>
      </w:r>
      <w:r>
        <w:rPr>
          <w:sz w:val="28"/>
        </w:rPr>
        <w:t xml:space="preserve">ибывшие без ветеринарных свидетельств, качественных и карантинных сертификатов, </w:t>
      </w:r>
      <w:r>
        <w:rPr>
          <w:sz w:val="28"/>
        </w:rPr>
        <w:t>сведения</w:t>
      </w:r>
      <w:r>
        <w:rPr>
          <w:sz w:val="28"/>
        </w:rPr>
        <w:t xml:space="preserve"> о наличии которых указаны в перевозочном документе, подаются Перевозчиком на выставочные пути только с согласия Оператора.</w:t>
      </w:r>
    </w:p>
    <w:p w14:paraId="7F000000">
      <w:pPr>
        <w:pStyle w:val="Style_3"/>
        <w:numPr>
          <w:ilvl w:val="1"/>
          <w:numId w:val="9"/>
        </w:numPr>
        <w:tabs>
          <w:tab w:leader="none" w:pos="1276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>Вагоны, подача которых не предусмотрена смен</w:t>
      </w:r>
      <w:r>
        <w:rPr>
          <w:sz w:val="28"/>
        </w:rPr>
        <w:t>но-суточным планом, а также отгруженные по заявке, не согласованной Оператором, подаются Перевозчиком Оператору после согласования такой подачи в соответствии с положениями настоящего Договора.</w:t>
      </w:r>
    </w:p>
    <w:p w14:paraId="80000000">
      <w:pPr>
        <w:pStyle w:val="Style_3"/>
        <w:numPr>
          <w:ilvl w:val="1"/>
          <w:numId w:val="9"/>
        </w:numPr>
        <w:tabs>
          <w:tab w:leader="none" w:pos="1276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>При подаче порожних вагонов на железнодорожные пути общего пол</w:t>
      </w:r>
      <w:r>
        <w:rPr>
          <w:sz w:val="28"/>
        </w:rPr>
        <w:t>ьзования без перевозочных документов Стороны руководствуются Уставом, Правилами приема грузов, порожних грузовых вагонов к перевозке железнодорожным транспортом, утвержденными приказом Минтранса России от 7 декабря 2016 г. № 374 и Правилами перемещения пор</w:t>
      </w:r>
      <w:r>
        <w:rPr>
          <w:sz w:val="28"/>
        </w:rPr>
        <w:t>ожних грузовых вагонов на железнодорожном транспорте, утвержденными постановлением Правительства Российской Федерации от 31 октября 2015 г. № 1180.</w:t>
      </w:r>
    </w:p>
    <w:p w14:paraId="81000000">
      <w:pPr>
        <w:spacing w:after="0" w:line="240" w:lineRule="auto"/>
        <w:ind w:firstLine="540" w:left="0"/>
        <w:jc w:val="both"/>
        <w:rPr>
          <w:sz w:val="28"/>
          <w:highlight w:val="yellow"/>
        </w:rPr>
      </w:pPr>
      <w:r>
        <w:rPr>
          <w:rFonts w:ascii="Times New Roman" w:hAnsi="Times New Roman"/>
          <w:sz w:val="28"/>
        </w:rPr>
        <w:t>6.7. Прибывшие в адрес Оператора вагоны, помещенные под процедуру таможенного транзита, передаются Перевоз</w:t>
      </w:r>
      <w:r>
        <w:rPr>
          <w:rFonts w:ascii="Times New Roman" w:hAnsi="Times New Roman"/>
          <w:sz w:val="28"/>
        </w:rPr>
        <w:t>чиком Оператору после завершения действия процедуры таможенного транзита, а в случае их нахождения под контролем иного федерального органа исполнительной власти - после</w:t>
      </w:r>
      <w:r>
        <w:rPr>
          <w:rFonts w:ascii="Times New Roman" w:hAnsi="Times New Roman"/>
          <w:color w:val="FF0000"/>
          <w:sz w:val="28"/>
        </w:rPr>
        <w:t xml:space="preserve"> </w:t>
      </w:r>
      <w:r>
        <w:rPr>
          <w:rFonts w:ascii="Times New Roman" w:hAnsi="Times New Roman"/>
          <w:sz w:val="28"/>
        </w:rPr>
        <w:t>получения Оператором разрешения данного органа на подачу вагонов.</w:t>
      </w:r>
    </w:p>
    <w:p w14:paraId="82000000">
      <w:pPr>
        <w:pStyle w:val="Style_3"/>
        <w:tabs>
          <w:tab w:leader="none" w:pos="1276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>6.8. Порядок приема и</w:t>
      </w:r>
      <w:r>
        <w:rPr>
          <w:sz w:val="28"/>
        </w:rPr>
        <w:t xml:space="preserve"> сдачи вагонов и контейнеров на выставочном пути.</w:t>
      </w:r>
    </w:p>
    <w:p w14:paraId="83000000">
      <w:pPr>
        <w:pStyle w:val="Style_3"/>
        <w:tabs>
          <w:tab w:leader="none" w:pos="1276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 xml:space="preserve">6.8.1. </w:t>
      </w:r>
      <w:r>
        <w:rPr>
          <w:sz w:val="28"/>
        </w:rPr>
        <w:t>Оператор, при поступлении к нему вагонов под погрузку/выгрузку, в присутствии представителя Перевозчика,</w:t>
      </w:r>
      <w:r>
        <w:rPr>
          <w:sz w:val="28"/>
        </w:rPr>
        <w:t xml:space="preserve"> а Перевозчик, при приеме грузов к перевозке, в присутствии представителя Оператора</w:t>
      </w:r>
      <w:r>
        <w:rPr>
          <w:sz w:val="28"/>
        </w:rPr>
        <w:t xml:space="preserve"> проверяет н</w:t>
      </w:r>
      <w:r>
        <w:rPr>
          <w:sz w:val="28"/>
        </w:rPr>
        <w:t xml:space="preserve">а выставочном пути коммерческое состояние вагонов (наличие пломб и запорно-пломбировочных устройств, соответствие их номеров в перевозочных документах), а в </w:t>
      </w:r>
      <w:r>
        <w:rPr>
          <w:sz w:val="28"/>
        </w:rPr>
        <w:t>отношении грузов, перевозимых навалом или насыпью в вагонах открытого типа, проверяет</w:t>
      </w:r>
      <w:r>
        <w:rPr>
          <w:sz w:val="28"/>
        </w:rPr>
        <w:t xml:space="preserve"> </w:t>
      </w:r>
      <w:r>
        <w:rPr>
          <w:sz w:val="28"/>
        </w:rPr>
        <w:t>равномерность</w:t>
      </w:r>
      <w:r>
        <w:rPr>
          <w:sz w:val="28"/>
        </w:rPr>
        <w:t xml:space="preserve"> поверхности груза и отсутствие</w:t>
      </w:r>
      <w:r>
        <w:rPr>
          <w:sz w:val="28"/>
        </w:rPr>
        <w:t xml:space="preserve"> выемок в грузе, </w:t>
      </w:r>
      <w:r>
        <w:rPr>
          <w:sz w:val="28"/>
        </w:rPr>
        <w:t>и подписывает памятку приемосдатчика.</w:t>
      </w:r>
    </w:p>
    <w:p w14:paraId="84000000">
      <w:pPr>
        <w:pStyle w:val="Style_3"/>
        <w:tabs>
          <w:tab w:leader="none" w:pos="1276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>6.8.2. Факт коммерческой непригодности вагонов, поданных под погрузку груза, определяется Оператором.</w:t>
      </w:r>
    </w:p>
    <w:p w14:paraId="85000000">
      <w:pPr>
        <w:pStyle w:val="Style_3"/>
        <w:tabs>
          <w:tab w:leader="none" w:pos="1276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>Выявленная коммерческая непригодность вагонов оформляется актом обще</w:t>
      </w:r>
      <w:r>
        <w:rPr>
          <w:sz w:val="28"/>
        </w:rPr>
        <w:t xml:space="preserve">й формы, </w:t>
      </w:r>
      <w:r>
        <w:rPr>
          <w:sz w:val="28"/>
        </w:rPr>
        <w:t>составленном</w:t>
      </w:r>
      <w:r>
        <w:rPr>
          <w:sz w:val="28"/>
        </w:rPr>
        <w:t xml:space="preserve"> по форме ГУ-23.</w:t>
      </w:r>
    </w:p>
    <w:p w14:paraId="86000000">
      <w:pPr>
        <w:pStyle w:val="Style_3"/>
        <w:tabs>
          <w:tab w:leader="none" w:pos="1276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 xml:space="preserve">6.8.3. В случае согласования Сторонами при подаче под погрузку грузов вагонов открытого </w:t>
      </w:r>
      <w:r>
        <w:rPr>
          <w:sz w:val="28"/>
        </w:rPr>
        <w:t>типа</w:t>
      </w:r>
      <w:r>
        <w:rPr>
          <w:sz w:val="28"/>
        </w:rPr>
        <w:t xml:space="preserve"> с остатками ранее перевозимых грузов или мусора, с неснятыми приспособлениями из-под крепления грузов, Перевозчик предоставля</w:t>
      </w:r>
      <w:r>
        <w:rPr>
          <w:sz w:val="28"/>
        </w:rPr>
        <w:t>ет Оператору дополнительное время на проведение соответствующих работ в размере ____ минут на один вагон.</w:t>
      </w:r>
    </w:p>
    <w:p w14:paraId="87000000">
      <w:pPr>
        <w:pStyle w:val="Style_3"/>
        <w:tabs>
          <w:tab w:leader="none" w:pos="1276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>Факт подачи под погрузку Оператору таких вагонов фиксируется Перевозчиком в акте общей формы, составленном по форме ГУ-23.</w:t>
      </w:r>
    </w:p>
    <w:p w14:paraId="88000000">
      <w:pPr>
        <w:tabs>
          <w:tab w:leader="none" w:pos="900" w:val="left"/>
          <w:tab w:leader="none" w:pos="993" w:val="left"/>
          <w:tab w:leader="none" w:pos="1080" w:val="left"/>
          <w:tab w:leader="none" w:pos="1276" w:val="left"/>
        </w:tabs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6.8.4. Перевозчик оформляет</w:t>
      </w:r>
      <w:r>
        <w:rPr>
          <w:rFonts w:ascii="Times New Roman" w:hAnsi="Times New Roman"/>
          <w:sz w:val="28"/>
        </w:rPr>
        <w:t xml:space="preserve"> акт общей формы, составляемый по форме ГУ-23,</w:t>
      </w:r>
      <w:r>
        <w:rPr>
          <w:rFonts w:ascii="Times New Roman" w:hAnsi="Times New Roman"/>
          <w:color w:val="00B050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в течение суток с момента наступления обстоятельств, послуживших основанием для </w:t>
      </w:r>
      <w:r>
        <w:rPr>
          <w:rFonts w:ascii="Times New Roman" w:hAnsi="Times New Roman"/>
          <w:sz w:val="28"/>
        </w:rPr>
        <w:t xml:space="preserve">подготовки </w:t>
      </w:r>
      <w:r>
        <w:rPr>
          <w:rFonts w:ascii="Times New Roman" w:hAnsi="Times New Roman"/>
          <w:sz w:val="28"/>
        </w:rPr>
        <w:t xml:space="preserve"> акта.</w:t>
      </w:r>
    </w:p>
    <w:p w14:paraId="89000000">
      <w:pPr>
        <w:tabs>
          <w:tab w:leader="none" w:pos="900" w:val="left"/>
          <w:tab w:leader="none" w:pos="993" w:val="left"/>
          <w:tab w:leader="none" w:pos="1080" w:val="left"/>
          <w:tab w:leader="none" w:pos="1276" w:val="left"/>
        </w:tabs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</w:t>
      </w:r>
      <w:r>
        <w:rPr>
          <w:rFonts w:ascii="Times New Roman" w:hAnsi="Times New Roman"/>
          <w:sz w:val="28"/>
        </w:rPr>
        <w:t>случае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отказа в оформлении</w:t>
      </w:r>
      <w:r>
        <w:rPr>
          <w:rFonts w:ascii="Times New Roman" w:hAnsi="Times New Roman"/>
          <w:sz w:val="28"/>
        </w:rPr>
        <w:t xml:space="preserve"> акта общей формы по форме ГУ-23 Перевозчиком Оператор вправе </w:t>
      </w:r>
      <w:r>
        <w:rPr>
          <w:rFonts w:ascii="Times New Roman" w:hAnsi="Times New Roman"/>
          <w:sz w:val="28"/>
        </w:rPr>
        <w:t>оформить</w:t>
      </w:r>
      <w:r>
        <w:rPr>
          <w:rFonts w:ascii="Times New Roman" w:hAnsi="Times New Roman"/>
          <w:sz w:val="28"/>
        </w:rPr>
        <w:t xml:space="preserve"> акт самостоятельн</w:t>
      </w:r>
      <w:r>
        <w:rPr>
          <w:rFonts w:ascii="Times New Roman" w:hAnsi="Times New Roman"/>
          <w:sz w:val="28"/>
        </w:rPr>
        <w:t xml:space="preserve">о с описанием обстоятельств, послуживших основанием для его </w:t>
      </w:r>
      <w:r>
        <w:rPr>
          <w:rFonts w:ascii="Times New Roman" w:hAnsi="Times New Roman"/>
          <w:sz w:val="28"/>
        </w:rPr>
        <w:t>подготовки</w:t>
      </w:r>
      <w:r>
        <w:rPr>
          <w:rFonts w:ascii="Times New Roman" w:hAnsi="Times New Roman"/>
          <w:sz w:val="28"/>
        </w:rPr>
        <w:t>.</w:t>
      </w:r>
    </w:p>
    <w:p w14:paraId="8A000000">
      <w:pPr>
        <w:tabs>
          <w:tab w:leader="none" w:pos="900" w:val="left"/>
          <w:tab w:leader="none" w:pos="993" w:val="left"/>
          <w:tab w:leader="none" w:pos="1080" w:val="left"/>
          <w:tab w:leader="none" w:pos="1276" w:val="left"/>
        </w:tabs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6.8.5. </w:t>
      </w:r>
      <w:r>
        <w:rPr>
          <w:rFonts w:ascii="Times New Roman" w:hAnsi="Times New Roman"/>
          <w:sz w:val="28"/>
        </w:rPr>
        <w:t>В случаях, когда прибывшие груженые вагоны после выгрузки используются под погрузку грузов (сдвоенные операции), осмотр вагонов на предмет их технической пригодности производит</w:t>
      </w:r>
      <w:r>
        <w:rPr>
          <w:rFonts w:ascii="Times New Roman" w:hAnsi="Times New Roman"/>
          <w:sz w:val="28"/>
        </w:rPr>
        <w:t>ся Перевозчиком до их подачи под выгрузку.</w:t>
      </w:r>
      <w:r>
        <w:rPr>
          <w:rFonts w:ascii="Times New Roman" w:hAnsi="Times New Roman"/>
          <w:sz w:val="28"/>
        </w:rPr>
        <w:t xml:space="preserve"> Осмотр </w:t>
      </w:r>
      <w:r>
        <w:rPr>
          <w:rFonts w:ascii="Times New Roman" w:hAnsi="Times New Roman"/>
          <w:sz w:val="28"/>
        </w:rPr>
        <w:t>фитинговых</w:t>
      </w:r>
      <w:r>
        <w:rPr>
          <w:rFonts w:ascii="Times New Roman" w:hAnsi="Times New Roman"/>
          <w:sz w:val="28"/>
        </w:rPr>
        <w:t xml:space="preserve"> платформ осуществляется Перевозчиком после снятия с них контейнеров Оператором. Порядок такого осмотра предусматривается в отдельном договоре.</w:t>
      </w:r>
    </w:p>
    <w:p w14:paraId="8B000000">
      <w:pPr>
        <w:tabs>
          <w:tab w:leader="none" w:pos="900" w:val="left"/>
          <w:tab w:leader="none" w:pos="993" w:val="left"/>
          <w:tab w:leader="none" w:pos="1080" w:val="left"/>
          <w:tab w:leader="none" w:pos="1276" w:val="left"/>
        </w:tabs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6.9. </w:t>
      </w:r>
      <w:r>
        <w:rPr>
          <w:rFonts w:ascii="Times New Roman" w:hAnsi="Times New Roman"/>
          <w:sz w:val="28"/>
        </w:rPr>
        <w:t xml:space="preserve">Прием и </w:t>
      </w:r>
      <w:r>
        <w:rPr>
          <w:rFonts w:ascii="Times New Roman" w:hAnsi="Times New Roman"/>
          <w:sz w:val="28"/>
        </w:rPr>
        <w:t>выдача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грузов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осуществляются</w:t>
      </w:r>
      <w:r>
        <w:rPr>
          <w:rFonts w:ascii="Times New Roman" w:hAnsi="Times New Roman"/>
          <w:sz w:val="28"/>
        </w:rPr>
        <w:t xml:space="preserve"> в соответствии с законодательством Российской Федерации о железнодорожном транспорте и законодательством Российской Федерации о морских портах.</w:t>
      </w:r>
    </w:p>
    <w:p w14:paraId="8C000000">
      <w:pPr>
        <w:tabs>
          <w:tab w:leader="none" w:pos="900" w:val="left"/>
          <w:tab w:leader="none" w:pos="993" w:val="left"/>
          <w:tab w:leader="none" w:pos="1080" w:val="left"/>
          <w:tab w:leader="none" w:pos="1276" w:val="left"/>
        </w:tabs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6.10. Учет выполнения согласованных норм осуществляется путем ежесуточного</w:t>
      </w:r>
      <w:r>
        <w:rPr>
          <w:rFonts w:ascii="Times New Roman" w:hAnsi="Times New Roman"/>
          <w:sz w:val="28"/>
        </w:rPr>
        <w:t xml:space="preserve"> проставления в сменно-суточном плане и учетной ведомости фактических показателей погрузки/выгрузки (в вагонах и тоннах) на основании: перевозочных документов, памяток приемосдатчика, уведомлений о времени подачи вагонов, уведомлений о завершении грузовых </w:t>
      </w:r>
      <w:r>
        <w:rPr>
          <w:rFonts w:ascii="Times New Roman" w:hAnsi="Times New Roman"/>
          <w:sz w:val="28"/>
        </w:rPr>
        <w:t>операций или готовности вагонов к уборке, актов общей формы.</w:t>
      </w:r>
    </w:p>
    <w:p w14:paraId="8D000000">
      <w:pPr>
        <w:tabs>
          <w:tab w:leader="none" w:pos="900" w:val="left"/>
          <w:tab w:leader="none" w:pos="993" w:val="left"/>
          <w:tab w:leader="none" w:pos="1080" w:val="left"/>
          <w:tab w:leader="none" w:pos="1276" w:val="left"/>
        </w:tabs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6.11. По итогам календарного месяца Сторонами осуществляется суммирование результатов работы по каждым суткам месяца с указанием в учет</w:t>
      </w:r>
      <w:r>
        <w:rPr>
          <w:rFonts w:ascii="Times New Roman" w:hAnsi="Times New Roman"/>
          <w:sz w:val="28"/>
        </w:rPr>
        <w:t xml:space="preserve">ной ведомости сальдо невыполнения сменно-суточного плана и Стороны, по причине которой произошло данное невыполнение. </w:t>
      </w:r>
    </w:p>
    <w:p w14:paraId="8E000000">
      <w:pPr>
        <w:tabs>
          <w:tab w:leader="none" w:pos="900" w:val="left"/>
          <w:tab w:leader="none" w:pos="993" w:val="left"/>
          <w:tab w:leader="none" w:pos="1080" w:val="left"/>
          <w:tab w:leader="none" w:pos="1276" w:val="left"/>
        </w:tabs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</w:p>
    <w:p w14:paraId="8F000000">
      <w:pPr>
        <w:pStyle w:val="Style_4"/>
        <w:numPr>
          <w:ilvl w:val="0"/>
          <w:numId w:val="10"/>
        </w:numPr>
        <w:tabs>
          <w:tab w:leader="none" w:pos="1134" w:val="left"/>
        </w:tabs>
        <w:spacing w:after="0" w:line="240" w:lineRule="auto"/>
        <w:ind w:firstLine="709" w:lef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Порядок проведения расчетов между Сторонами.</w:t>
      </w:r>
    </w:p>
    <w:p w14:paraId="90000000">
      <w:pPr>
        <w:pStyle w:val="Style_5"/>
        <w:spacing w:line="240" w:lineRule="auto"/>
        <w:ind w:firstLine="709" w:left="0" w:right="-2"/>
        <w:jc w:val="both"/>
        <w:rPr>
          <w:rFonts w:ascii="Times New Roman" w:hAnsi="Times New Roman"/>
          <w:sz w:val="28"/>
        </w:rPr>
      </w:pPr>
      <w:bookmarkStart w:id="1" w:name="bookmark4"/>
      <w:bookmarkEnd w:id="1"/>
      <w:r>
        <w:rPr>
          <w:rFonts w:ascii="Times New Roman" w:hAnsi="Times New Roman"/>
          <w:sz w:val="28"/>
        </w:rPr>
        <w:t>7.1. При невыполнении сменно-суточного плана одной из Сторон в учетную ведомость вносятся с</w:t>
      </w:r>
      <w:r>
        <w:rPr>
          <w:rFonts w:ascii="Times New Roman" w:hAnsi="Times New Roman"/>
          <w:sz w:val="28"/>
        </w:rPr>
        <w:t>ведения о данном, невыполнении в отчетные сутки.</w:t>
      </w:r>
    </w:p>
    <w:p w14:paraId="91000000">
      <w:pPr>
        <w:pStyle w:val="Style_5"/>
        <w:spacing w:line="240" w:lineRule="auto"/>
        <w:ind w:firstLine="709" w:left="0" w:right="18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 невыполнении сменно-суточного плана обеими Сторонами по итогам месяца выводится сальдо в пользу Стороны, допустившей меньшее невыполнение плана, по результатам которого этой Стороне выплачивается штраф. </w:t>
      </w:r>
    </w:p>
    <w:p w14:paraId="92000000">
      <w:pPr>
        <w:pStyle w:val="Style_3"/>
        <w:spacing w:after="0" w:line="240" w:lineRule="auto"/>
        <w:ind w:firstLine="709" w:left="0" w:right="23"/>
        <w:jc w:val="both"/>
        <w:rPr>
          <w:sz w:val="28"/>
        </w:rPr>
      </w:pPr>
      <w:r>
        <w:rPr>
          <w:sz w:val="28"/>
        </w:rPr>
        <w:t>7.2. Оператор уплачивает Перевозчику сборы, платы и иные платежи, предусмотренные законодательством Российской Федерации, в размере, установленном по соглашению Сторон, если иной размер не определен законодательством Российской Федерации.</w:t>
      </w:r>
    </w:p>
    <w:p w14:paraId="93000000">
      <w:pPr>
        <w:spacing w:after="0" w:line="240" w:lineRule="auto"/>
        <w:ind w:firstLine="709" w:left="0"/>
        <w:jc w:val="both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 xml:space="preserve">7.3. Если </w:t>
      </w:r>
      <w:r>
        <w:rPr>
          <w:rFonts w:ascii="Times New Roman" w:hAnsi="Times New Roman"/>
          <w:color w:themeColor="text1" w:val="000000"/>
          <w:sz w:val="28"/>
        </w:rPr>
        <w:t xml:space="preserve">невыполнение сменно-суточного плана произошло по </w:t>
      </w:r>
      <w:r>
        <w:rPr>
          <w:rFonts w:ascii="Times New Roman" w:hAnsi="Times New Roman"/>
          <w:color w:themeColor="text1" w:val="000000"/>
          <w:sz w:val="28"/>
        </w:rPr>
        <w:t>причинам, зависящим от Перевозчика</w:t>
      </w:r>
      <w:r>
        <w:rPr>
          <w:rFonts w:ascii="Times New Roman" w:hAnsi="Times New Roman"/>
          <w:color w:val="FB290D"/>
          <w:sz w:val="28"/>
        </w:rPr>
        <w:t xml:space="preserve"> </w:t>
      </w:r>
      <w:r>
        <w:rPr>
          <w:rFonts w:ascii="Times New Roman" w:hAnsi="Times New Roman"/>
          <w:sz w:val="28"/>
        </w:rPr>
        <w:t>и повлекло</w:t>
      </w:r>
      <w:r>
        <w:rPr>
          <w:rFonts w:ascii="Times New Roman" w:hAnsi="Times New Roman"/>
          <w:sz w:val="28"/>
        </w:rPr>
        <w:t xml:space="preserve"> за собой невозможность подачи Перевозчиком Оператору планируемой партии вагонов согласно сменно-суточному плану, то плата за нахождение на железнодорожных путях </w:t>
      </w:r>
      <w:r>
        <w:rPr>
          <w:rFonts w:ascii="Times New Roman" w:hAnsi="Times New Roman"/>
          <w:sz w:val="28"/>
        </w:rPr>
        <w:t>общего пользования таких вагонов в данной подаче не начисляется.</w:t>
      </w:r>
    </w:p>
    <w:p w14:paraId="94000000">
      <w:pPr>
        <w:pStyle w:val="Style_5"/>
        <w:spacing w:line="240" w:lineRule="auto"/>
        <w:ind w:firstLine="709" w:left="0" w:right="18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7.4. Плата за пользование несогласованными вагонами, принадлежащими Перевозчику, на путях </w:t>
      </w:r>
      <w:r>
        <w:rPr>
          <w:rFonts w:ascii="Times New Roman" w:hAnsi="Times New Roman"/>
          <w:sz w:val="28"/>
        </w:rPr>
        <w:t>необщего</w:t>
      </w:r>
      <w:r>
        <w:rPr>
          <w:rFonts w:ascii="Times New Roman" w:hAnsi="Times New Roman"/>
          <w:sz w:val="28"/>
        </w:rPr>
        <w:t xml:space="preserve"> пользования не начисляется. </w:t>
      </w:r>
    </w:p>
    <w:p w14:paraId="95000000">
      <w:pPr>
        <w:pStyle w:val="Style_5"/>
        <w:spacing w:line="240" w:lineRule="auto"/>
        <w:ind w:firstLine="709" w:left="0" w:right="18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sz w:val="28"/>
        </w:rPr>
        <w:t>7.5. Расчеты между Перевозчиком и Оператором производятся в пор</w:t>
      </w:r>
      <w:r>
        <w:rPr>
          <w:rFonts w:ascii="Times New Roman" w:hAnsi="Times New Roman"/>
          <w:sz w:val="28"/>
        </w:rPr>
        <w:t xml:space="preserve">ядке, предусмотренном отдельным договором об осуществлении расчетов, заключенным между Сторонами, </w:t>
      </w:r>
      <w:r>
        <w:rPr>
          <w:rFonts w:ascii="Times New Roman" w:hAnsi="Times New Roman"/>
          <w:color w:val="000000"/>
          <w:sz w:val="28"/>
        </w:rPr>
        <w:t>с использованием специальных счетов</w:t>
      </w:r>
      <w:r>
        <w:rPr>
          <w:rFonts w:ascii="Times New Roman" w:hAnsi="Times New Roman"/>
          <w:color w:val="000000"/>
          <w:sz w:val="28"/>
        </w:rPr>
        <w:t>.</w:t>
      </w:r>
    </w:p>
    <w:p w14:paraId="96000000">
      <w:pPr>
        <w:pStyle w:val="Style_5"/>
        <w:spacing w:line="240" w:lineRule="auto"/>
        <w:ind w:firstLine="709" w:left="0" w:right="18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При этом Перевозчик не вправе списывать денежные средства с </w:t>
      </w:r>
      <w:r>
        <w:rPr>
          <w:rFonts w:ascii="Times New Roman" w:hAnsi="Times New Roman"/>
          <w:color w:val="000000"/>
          <w:sz w:val="28"/>
        </w:rPr>
        <w:t>указанного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sz w:val="28"/>
        </w:rPr>
        <w:t>счета до урегулирования Сторонами спора или вынесе</w:t>
      </w:r>
      <w:r>
        <w:rPr>
          <w:rFonts w:ascii="Times New Roman" w:hAnsi="Times New Roman"/>
          <w:sz w:val="28"/>
        </w:rPr>
        <w:t>ния судебного решения в порядке, установленном законодательством Российской Федерации.</w:t>
      </w:r>
    </w:p>
    <w:p w14:paraId="97000000">
      <w:pPr>
        <w:pStyle w:val="Style_5"/>
        <w:spacing w:line="240" w:lineRule="auto"/>
        <w:ind w:firstLine="709" w:left="0" w:right="180"/>
        <w:jc w:val="both"/>
        <w:rPr>
          <w:rFonts w:ascii="Times New Roman" w:hAnsi="Times New Roman"/>
          <w:b w:val="1"/>
          <w:sz w:val="28"/>
        </w:rPr>
      </w:pPr>
    </w:p>
    <w:p w14:paraId="98000000">
      <w:pPr>
        <w:pStyle w:val="Style_4"/>
        <w:numPr>
          <w:ilvl w:val="0"/>
          <w:numId w:val="10"/>
        </w:numPr>
        <w:tabs>
          <w:tab w:leader="none" w:pos="426" w:val="left"/>
          <w:tab w:leader="none" w:pos="1134" w:val="left"/>
        </w:tabs>
        <w:spacing w:after="0" w:line="240" w:lineRule="auto"/>
        <w:ind w:firstLine="709" w:lef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Ответственность Сторон.</w:t>
      </w:r>
    </w:p>
    <w:p w14:paraId="99000000">
      <w:pPr>
        <w:pStyle w:val="Style_3"/>
        <w:tabs>
          <w:tab w:leader="none" w:pos="0" w:val="left"/>
        </w:tabs>
        <w:spacing w:after="0" w:line="20" w:lineRule="atLeast"/>
        <w:ind w:firstLine="709" w:left="0"/>
        <w:jc w:val="both"/>
        <w:rPr>
          <w:sz w:val="28"/>
        </w:rPr>
      </w:pPr>
      <w:r>
        <w:rPr>
          <w:sz w:val="28"/>
        </w:rPr>
        <w:t xml:space="preserve">8.1. </w:t>
      </w:r>
      <w:r>
        <w:rPr>
          <w:sz w:val="28"/>
        </w:rPr>
        <w:t>Ответственность Сторон за невыполнение</w:t>
      </w:r>
      <w:r>
        <w:rPr>
          <w:color w:val="FB290D"/>
          <w:sz w:val="28"/>
        </w:rPr>
        <w:t xml:space="preserve"> </w:t>
      </w:r>
      <w:r>
        <w:rPr>
          <w:color w:val="000000"/>
          <w:sz w:val="28"/>
        </w:rPr>
        <w:t xml:space="preserve">согласованной нормы погрузки/выгрузки </w:t>
      </w:r>
      <w:r>
        <w:rPr>
          <w:color w:val="000000"/>
          <w:sz w:val="28"/>
        </w:rPr>
        <w:t>и времени подачи/уборки вагонов</w:t>
      </w:r>
      <w:r>
        <w:rPr>
          <w:color w:val="000000"/>
          <w:sz w:val="28"/>
        </w:rPr>
        <w:t>,</w:t>
      </w:r>
      <w:r>
        <w:rPr>
          <w:color w:val="000000"/>
        </w:rPr>
        <w:t xml:space="preserve"> </w:t>
      </w:r>
      <w:r>
        <w:rPr>
          <w:color w:val="000000"/>
          <w:sz w:val="28"/>
        </w:rPr>
        <w:t>установленных</w:t>
      </w:r>
      <w:r>
        <w:rPr>
          <w:color w:val="000000"/>
          <w:sz w:val="28"/>
        </w:rPr>
        <w:t xml:space="preserve"> </w:t>
      </w:r>
      <w:r>
        <w:rPr>
          <w:sz w:val="28"/>
        </w:rPr>
        <w:t>в сменно-суточно</w:t>
      </w:r>
      <w:r>
        <w:rPr>
          <w:sz w:val="28"/>
        </w:rPr>
        <w:t>м плане, определяется ежемесячно на основании учетной ведомости.</w:t>
      </w:r>
    </w:p>
    <w:p w14:paraId="9A000000">
      <w:pPr>
        <w:pStyle w:val="Style_3"/>
        <w:spacing w:after="0" w:line="24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8.2.</w:t>
      </w:r>
      <w:r>
        <w:rPr>
          <w:color w:val="FB290D"/>
          <w:sz w:val="28"/>
        </w:rPr>
        <w:t xml:space="preserve"> </w:t>
      </w:r>
      <w:r>
        <w:rPr>
          <w:color w:val="000000"/>
          <w:sz w:val="28"/>
        </w:rPr>
        <w:t xml:space="preserve">В случае, когда при наличии на станции и на подходах к ней вагонов, Сторона согласовала </w:t>
      </w:r>
      <w:r>
        <w:rPr>
          <w:color w:val="000000"/>
          <w:sz w:val="28"/>
        </w:rPr>
        <w:t>норму</w:t>
      </w:r>
      <w:r>
        <w:rPr>
          <w:color w:val="000000"/>
          <w:sz w:val="28"/>
        </w:rPr>
        <w:t xml:space="preserve"> погрузки/выгрузки, которая</w:t>
      </w:r>
      <w:r>
        <w:rPr>
          <w:color w:val="000000"/>
          <w:sz w:val="28"/>
        </w:rPr>
        <w:t xml:space="preserve"> меньше</w:t>
      </w:r>
      <w:r>
        <w:rPr>
          <w:color w:val="000000"/>
          <w:sz w:val="28"/>
        </w:rPr>
        <w:t xml:space="preserve"> согласованной</w:t>
      </w:r>
      <w:r>
        <w:rPr>
          <w:color w:val="000000"/>
          <w:sz w:val="28"/>
        </w:rPr>
        <w:t xml:space="preserve"> в соответствии с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подпунктом «а» пункта 4.2</w:t>
      </w:r>
      <w:r>
        <w:rPr>
          <w:color w:val="000000"/>
          <w:sz w:val="28"/>
        </w:rPr>
        <w:t>, то</w:t>
      </w:r>
      <w:r>
        <w:rPr>
          <w:color w:val="000000"/>
          <w:sz w:val="28"/>
        </w:rPr>
        <w:t xml:space="preserve"> она несет </w:t>
      </w:r>
      <w:r>
        <w:rPr>
          <w:color w:val="000000"/>
          <w:sz w:val="28"/>
        </w:rPr>
        <w:t xml:space="preserve">ответственность в размере разницы </w:t>
      </w:r>
      <w:r>
        <w:rPr>
          <w:color w:val="000000"/>
          <w:sz w:val="28"/>
        </w:rPr>
        <w:t>между фактически согласованной нормой погрузки/выгрузки вагонов и фактическим наличием вагонов</w:t>
      </w:r>
      <w:r>
        <w:rPr>
          <w:color w:val="000000"/>
          <w:sz w:val="28"/>
        </w:rPr>
        <w:t>.</w:t>
      </w:r>
    </w:p>
    <w:p w14:paraId="9B000000">
      <w:pPr>
        <w:pStyle w:val="Style_3"/>
        <w:spacing w:after="0" w:line="240" w:lineRule="auto"/>
        <w:ind w:firstLine="709" w:left="0"/>
        <w:jc w:val="both"/>
        <w:rPr>
          <w:color w:val="FB290D"/>
          <w:sz w:val="28"/>
        </w:rPr>
      </w:pPr>
      <w:r>
        <w:rPr>
          <w:color w:val="000000"/>
          <w:sz w:val="28"/>
        </w:rPr>
        <w:t xml:space="preserve">В случае, когда при наличии на станции и на подходах к ней вагонов, Сторона согласовала </w:t>
      </w:r>
      <w:r>
        <w:rPr>
          <w:color w:val="000000"/>
          <w:sz w:val="28"/>
        </w:rPr>
        <w:t xml:space="preserve">норму </w:t>
      </w:r>
      <w:r>
        <w:rPr>
          <w:color w:val="000000"/>
          <w:sz w:val="28"/>
        </w:rPr>
        <w:t>погрузки/выгрузки, которая</w:t>
      </w:r>
      <w:r>
        <w:rPr>
          <w:color w:val="000000"/>
          <w:sz w:val="28"/>
        </w:rPr>
        <w:t xml:space="preserve"> меньше</w:t>
      </w:r>
      <w:r>
        <w:rPr>
          <w:color w:val="000000"/>
          <w:sz w:val="28"/>
        </w:rPr>
        <w:t xml:space="preserve"> согласованной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в соответствии с </w:t>
      </w:r>
      <w:r>
        <w:rPr>
          <w:color w:val="000000"/>
          <w:sz w:val="28"/>
        </w:rPr>
        <w:t xml:space="preserve">подпунктом «б» пункта 4.2 она несет ответственность в размере разницы </w:t>
      </w:r>
      <w:r>
        <w:rPr>
          <w:color w:val="000000"/>
          <w:sz w:val="28"/>
        </w:rPr>
        <w:t xml:space="preserve">между фактически согласованной нормой погрузки/выгрузки </w:t>
      </w:r>
      <w:r>
        <w:rPr>
          <w:color w:val="000000"/>
          <w:sz w:val="28"/>
        </w:rPr>
        <w:t>вагонов и перерабатывающей способностью Оператора</w:t>
      </w:r>
      <w:r>
        <w:rPr>
          <w:color w:val="000000"/>
          <w:sz w:val="28"/>
        </w:rPr>
        <w:t>.</w:t>
      </w:r>
    </w:p>
    <w:p w14:paraId="9C000000">
      <w:pPr>
        <w:pStyle w:val="Style_3"/>
        <w:spacing w:after="0" w:line="240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8.3. Размер штрафа, уплачиваемый Стороной, допустившей наибольшее невыполнение согласованных норм, определяется путем умножения 0,1 от величины минимального </w:t>
      </w:r>
      <w:r>
        <w:rPr>
          <w:sz w:val="28"/>
        </w:rPr>
        <w:t>размера оплаты труда</w:t>
      </w:r>
      <w:r>
        <w:rPr>
          <w:sz w:val="28"/>
        </w:rPr>
        <w:t xml:space="preserve"> на средн</w:t>
      </w:r>
      <w:r>
        <w:rPr>
          <w:sz w:val="28"/>
        </w:rPr>
        <w:t>юю статистическую нагрузку одного вагона, получаемую путем деления общей массы выгруженного/погруженного груза в течение отчетного месяца на количество выгруженных/погруженных вагонов, и на разность объемов невыполнения согласованных норм Сторонами.</w:t>
      </w:r>
    </w:p>
    <w:p w14:paraId="9D000000">
      <w:pPr>
        <w:pStyle w:val="Style_3"/>
        <w:spacing w:after="0" w:line="240" w:lineRule="auto"/>
        <w:ind w:firstLine="709" w:left="0"/>
        <w:jc w:val="both"/>
        <w:rPr>
          <w:color w:themeColor="text1" w:val="000000"/>
          <w:sz w:val="26"/>
        </w:rPr>
      </w:pPr>
      <w:r>
        <w:rPr>
          <w:color w:themeColor="text1" w:val="000000"/>
          <w:sz w:val="28"/>
        </w:rPr>
        <w:t>8.4. С</w:t>
      </w:r>
      <w:r>
        <w:rPr>
          <w:color w:themeColor="text1" w:val="000000"/>
          <w:sz w:val="28"/>
        </w:rPr>
        <w:t>торона не несет штрафной ответственности перед другой Стороной за невыполнение сменно-суточного плана в количестве вагонов, равном количеству вагонов, за которое на Сторону в соответствии с частями 1 и 2 статьи 94 Устава отнесена ответственность за невыпол</w:t>
      </w:r>
      <w:r>
        <w:rPr>
          <w:color w:themeColor="text1" w:val="000000"/>
          <w:sz w:val="28"/>
        </w:rPr>
        <w:t xml:space="preserve">нение принятой Перевозчиком </w:t>
      </w:r>
      <w:r>
        <w:rPr>
          <w:sz w:val="28"/>
        </w:rPr>
        <w:t>заявки.</w:t>
      </w:r>
    </w:p>
    <w:p w14:paraId="9E000000">
      <w:pPr>
        <w:pStyle w:val="Style_3"/>
        <w:spacing w:after="0" w:line="240" w:lineRule="auto"/>
        <w:ind w:firstLine="709" w:left="0"/>
        <w:jc w:val="both"/>
        <w:rPr>
          <w:sz w:val="28"/>
        </w:rPr>
      </w:pPr>
      <w:r>
        <w:rPr>
          <w:sz w:val="28"/>
        </w:rPr>
        <w:t>8.5. При выполнении суммарной месячной нормы погрузки/выгрузки в вагонах ответственность Сторон не наступает.</w:t>
      </w:r>
    </w:p>
    <w:p w14:paraId="9F000000">
      <w:pPr>
        <w:pStyle w:val="Style_7"/>
        <w:tabs>
          <w:tab w:leader="none" w:pos="0" w:val="left"/>
          <w:tab w:leader="none" w:pos="1134" w:val="left"/>
        </w:tabs>
        <w:spacing w:before="0" w:line="240" w:lineRule="auto"/>
        <w:ind w:firstLine="0" w:left="709"/>
        <w:rPr>
          <w:b w:val="0"/>
          <w:sz w:val="28"/>
        </w:rPr>
      </w:pPr>
    </w:p>
    <w:p w14:paraId="A0000000">
      <w:pPr>
        <w:pStyle w:val="Style_3"/>
        <w:numPr>
          <w:ilvl w:val="0"/>
          <w:numId w:val="11"/>
        </w:numPr>
        <w:tabs>
          <w:tab w:leader="none" w:pos="1134" w:val="left"/>
        </w:tabs>
        <w:spacing w:after="0" w:line="240" w:lineRule="auto"/>
        <w:ind w:firstLine="709" w:left="0" w:right="20"/>
        <w:jc w:val="both"/>
        <w:rPr>
          <w:b w:val="1"/>
          <w:sz w:val="28"/>
        </w:rPr>
      </w:pPr>
      <w:r>
        <w:rPr>
          <w:b w:val="1"/>
          <w:sz w:val="28"/>
        </w:rPr>
        <w:t xml:space="preserve"> Обстоятельства непреодолимой силы.</w:t>
      </w:r>
    </w:p>
    <w:p w14:paraId="A1000000">
      <w:pPr>
        <w:pStyle w:val="Style_3"/>
        <w:tabs>
          <w:tab w:leader="none" w:pos="0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 xml:space="preserve">9.1. </w:t>
      </w:r>
      <w:r>
        <w:rPr>
          <w:sz w:val="28"/>
        </w:rPr>
        <w:t>Ни одна из Сторон не несет ответственности перед другой Стороной за неисполнение или ненадлежащее исполнение обязательств по настоящему Договору, обусловленное действием обстоятельств непреодолимой силы, то есть чрезвычайных и непредотвратимых при дан</w:t>
      </w:r>
      <w:r>
        <w:rPr>
          <w:sz w:val="28"/>
        </w:rPr>
        <w:t>ных условиях обстоятельств, в том числе объявленной или фактической войны, гражданских волнений, эпидемии, блокады, эмбарго, пожара, землетрясения, наводнения и других природных стихийных бедствий;</w:t>
      </w:r>
      <w:r>
        <w:rPr>
          <w:strike w:val="0"/>
          <w:color w:val="000000"/>
          <w:sz w:val="28"/>
        </w:rPr>
        <w:t xml:space="preserve"> неблагоприятными метеоусловиями</w:t>
      </w:r>
      <w:r>
        <w:rPr>
          <w:strike w:val="0"/>
          <w:color w:val="000000"/>
          <w:sz w:val="28"/>
        </w:rPr>
        <w:t>,</w:t>
      </w:r>
      <w:r>
        <w:rPr>
          <w:strike w:val="0"/>
          <w:color w:val="000000"/>
          <w:sz w:val="28"/>
        </w:rPr>
        <w:t xml:space="preserve"> препятствующими осуществл</w:t>
      </w:r>
      <w:r>
        <w:rPr>
          <w:strike w:val="0"/>
          <w:color w:val="000000"/>
          <w:sz w:val="28"/>
        </w:rPr>
        <w:t>ению погрузки/выгрузки вагонов,</w:t>
      </w:r>
      <w:r>
        <w:rPr>
          <w:strike w:val="0"/>
          <w:color w:val="000000"/>
          <w:sz w:val="28"/>
        </w:rPr>
        <w:t xml:space="preserve"> изданием </w:t>
      </w:r>
      <w:r>
        <w:rPr>
          <w:strike w:val="0"/>
          <w:color w:val="000000"/>
          <w:sz w:val="28"/>
        </w:rPr>
        <w:t>соответствующих</w:t>
      </w:r>
      <w:r>
        <w:rPr>
          <w:strike w:val="0"/>
          <w:color w:val="000000"/>
          <w:sz w:val="28"/>
        </w:rPr>
        <w:t xml:space="preserve"> актов органами государственной власти, а также обстоятельств, при которых Оператору в соответствии с нормативными </w:t>
      </w:r>
      <w:r>
        <w:rPr>
          <w:strike w:val="0"/>
          <w:color w:val="000000"/>
          <w:sz w:val="28"/>
        </w:rPr>
        <w:t xml:space="preserve">и </w:t>
      </w:r>
      <w:r>
        <w:rPr>
          <w:strike w:val="0"/>
          <w:color w:val="000000"/>
          <w:sz w:val="28"/>
        </w:rPr>
        <w:t>распорядительными</w:t>
      </w:r>
      <w:r>
        <w:rPr>
          <w:strike w:val="0"/>
          <w:color w:val="000000"/>
          <w:sz w:val="28"/>
        </w:rPr>
        <w:t xml:space="preserve"> актами запрещено выполнять операции по погрузке/выгрузке вагонов,</w:t>
      </w:r>
      <w:r>
        <w:rPr>
          <w:strike w:val="0"/>
          <w:color w:val="000000"/>
          <w:sz w:val="28"/>
        </w:rPr>
        <w:t xml:space="preserve"> судов,</w:t>
      </w:r>
      <w:r>
        <w:rPr>
          <w:strike w:val="0"/>
          <w:color w:val="000000"/>
          <w:sz w:val="28"/>
        </w:rPr>
        <w:t xml:space="preserve"> а</w:t>
      </w:r>
      <w:r>
        <w:rPr>
          <w:color w:val="000000"/>
          <w:sz w:val="28"/>
        </w:rPr>
        <w:t xml:space="preserve"> Перевозчику выполнять операции по </w:t>
      </w:r>
      <w:r>
        <w:rPr>
          <w:color w:val="000000"/>
          <w:sz w:val="28"/>
        </w:rPr>
        <w:t>своевременной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подаче и уборке ваго</w:t>
      </w:r>
      <w:r>
        <w:rPr>
          <w:sz w:val="28"/>
        </w:rPr>
        <w:t xml:space="preserve">нов. </w:t>
      </w:r>
    </w:p>
    <w:p w14:paraId="A2000000">
      <w:pPr>
        <w:pStyle w:val="Style_3"/>
        <w:tabs>
          <w:tab w:leader="none" w:pos="0" w:val="left"/>
        </w:tabs>
        <w:spacing w:after="0" w:line="240" w:lineRule="auto"/>
        <w:ind w:firstLine="709" w:left="0" w:right="20"/>
        <w:jc w:val="both"/>
        <w:rPr>
          <w:color w:val="000000"/>
          <w:sz w:val="28"/>
        </w:rPr>
      </w:pPr>
      <w:r>
        <w:rPr>
          <w:color w:val="000000"/>
          <w:sz w:val="28"/>
        </w:rPr>
        <w:t>Возможность осуществления операций с грузами при неблагоприятных метеоусловиях зависит от технологии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перевалки</w:t>
      </w:r>
      <w:r>
        <w:rPr>
          <w:color w:val="000000"/>
          <w:sz w:val="28"/>
        </w:rPr>
        <w:t xml:space="preserve"> вида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груз</w:t>
      </w:r>
      <w:r>
        <w:rPr>
          <w:color w:val="000000"/>
          <w:sz w:val="28"/>
        </w:rPr>
        <w:t>а</w:t>
      </w:r>
      <w:r>
        <w:rPr>
          <w:color w:val="000000"/>
          <w:sz w:val="28"/>
        </w:rPr>
        <w:t>,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техническо</w:t>
      </w:r>
      <w:r>
        <w:rPr>
          <w:color w:val="000000"/>
          <w:sz w:val="28"/>
        </w:rPr>
        <w:t>го</w:t>
      </w:r>
      <w:r>
        <w:rPr>
          <w:color w:val="000000"/>
          <w:sz w:val="28"/>
        </w:rPr>
        <w:t xml:space="preserve"> и технологическо</w:t>
      </w:r>
      <w:r>
        <w:rPr>
          <w:color w:val="000000"/>
          <w:sz w:val="28"/>
        </w:rPr>
        <w:t>го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оснащени</w:t>
      </w:r>
      <w:r>
        <w:rPr>
          <w:color w:val="000000"/>
          <w:sz w:val="28"/>
        </w:rPr>
        <w:t>я</w:t>
      </w:r>
      <w:r>
        <w:rPr>
          <w:color w:val="000000"/>
          <w:sz w:val="28"/>
        </w:rPr>
        <w:t xml:space="preserve"> конкретного порта</w:t>
      </w:r>
      <w:r>
        <w:rPr>
          <w:color w:val="000000"/>
          <w:sz w:val="28"/>
        </w:rPr>
        <w:t xml:space="preserve"> (терминала)</w:t>
      </w:r>
      <w:r>
        <w:rPr>
          <w:color w:val="000000"/>
          <w:sz w:val="28"/>
        </w:rPr>
        <w:t xml:space="preserve"> и припортовой станции.</w:t>
      </w:r>
    </w:p>
    <w:p w14:paraId="A3000000">
      <w:pPr>
        <w:pStyle w:val="Style_3"/>
        <w:tabs>
          <w:tab w:leader="none" w:pos="0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>9.</w:t>
      </w:r>
      <w:r>
        <w:rPr>
          <w:sz w:val="28"/>
        </w:rPr>
        <w:t>2. Свидетельство, выданное Торгово-промышленной палатой Российской Федерации или иным компетентным органом, является достаточным подтверждением наличия и продолжительности действия обстоятельств непреодолимой силы.</w:t>
      </w:r>
    </w:p>
    <w:p w14:paraId="A4000000">
      <w:pPr>
        <w:pStyle w:val="Style_3"/>
        <w:tabs>
          <w:tab w:leader="none" w:pos="0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>9.3. Сторона, которая не исполняет свои о</w:t>
      </w:r>
      <w:r>
        <w:rPr>
          <w:sz w:val="28"/>
        </w:rPr>
        <w:t xml:space="preserve">бязательства вследствие действия обстоятельств непреодолимой силы, должна незамедлительно, но не позднее чем в течение суток, известить другую Сторону в письменном виде о таких обстоятельствах и их влиянии на исполнение обязательств по настоящему Договору </w:t>
      </w:r>
      <w:r>
        <w:rPr>
          <w:sz w:val="28"/>
        </w:rPr>
        <w:t>с дальнейшим предоставлением подтверждения компетентных органов.</w:t>
      </w:r>
    </w:p>
    <w:p w14:paraId="A5000000">
      <w:pPr>
        <w:pStyle w:val="Style_3"/>
        <w:tabs>
          <w:tab w:leader="none" w:pos="1134" w:val="left"/>
        </w:tabs>
        <w:spacing w:after="0" w:line="240" w:lineRule="auto"/>
        <w:ind w:firstLine="709" w:left="0" w:right="20"/>
        <w:jc w:val="both"/>
        <w:rPr>
          <w:b w:val="1"/>
          <w:spacing w:val="0"/>
          <w:sz w:val="28"/>
          <w:u w:val="single"/>
        </w:rPr>
      </w:pPr>
      <w:r>
        <w:rPr>
          <w:spacing w:val="0"/>
          <w:sz w:val="28"/>
        </w:rPr>
        <w:t xml:space="preserve">9.4. Если обстоятельства непреодолимой силы действуют на протяжении 3 (трех) последовательных месяцев, настоящий </w:t>
      </w:r>
      <w:r>
        <w:rPr>
          <w:spacing w:val="0"/>
          <w:sz w:val="28"/>
        </w:rPr>
        <w:t>Договор</w:t>
      </w:r>
      <w:r>
        <w:rPr>
          <w:spacing w:val="0"/>
          <w:sz w:val="28"/>
        </w:rPr>
        <w:t xml:space="preserve"> может быть расторгнут по соглашению Сторон.</w:t>
      </w:r>
    </w:p>
    <w:p w14:paraId="A6000000">
      <w:pPr>
        <w:pStyle w:val="Style_3"/>
        <w:tabs>
          <w:tab w:leader="none" w:pos="1134" w:val="left"/>
        </w:tabs>
        <w:spacing w:after="0" w:line="240" w:lineRule="auto"/>
        <w:ind w:firstLine="709" w:left="0" w:right="20"/>
        <w:jc w:val="both"/>
        <w:rPr>
          <w:b w:val="1"/>
          <w:spacing w:val="0"/>
          <w:sz w:val="28"/>
          <w:u w:val="single"/>
        </w:rPr>
      </w:pPr>
    </w:p>
    <w:p w14:paraId="A7000000">
      <w:pPr>
        <w:pStyle w:val="Style_3"/>
        <w:numPr>
          <w:ilvl w:val="0"/>
          <w:numId w:val="12"/>
        </w:numPr>
        <w:tabs>
          <w:tab w:leader="none" w:pos="1418" w:val="left"/>
        </w:tabs>
        <w:spacing w:after="0" w:line="240" w:lineRule="auto"/>
        <w:ind w:firstLine="709" w:left="0" w:right="20"/>
        <w:jc w:val="both"/>
        <w:rPr>
          <w:b w:val="1"/>
          <w:sz w:val="28"/>
        </w:rPr>
      </w:pPr>
      <w:r>
        <w:rPr>
          <w:b w:val="1"/>
          <w:sz w:val="28"/>
        </w:rPr>
        <w:t>Порядок урегулирования сп</w:t>
      </w:r>
      <w:r>
        <w:rPr>
          <w:b w:val="1"/>
          <w:sz w:val="28"/>
        </w:rPr>
        <w:t>оров.</w:t>
      </w:r>
    </w:p>
    <w:p w14:paraId="A8000000">
      <w:pPr>
        <w:pStyle w:val="Style_3"/>
        <w:numPr>
          <w:ilvl w:val="1"/>
          <w:numId w:val="12"/>
        </w:numPr>
        <w:tabs>
          <w:tab w:leader="none" w:pos="1191" w:val="left"/>
          <w:tab w:leader="none" w:pos="1418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>По вопросам, не предусмотренным настоящим Договором, Стороны руководствуются законодательством Российской Федерации.</w:t>
      </w:r>
    </w:p>
    <w:p w14:paraId="A9000000">
      <w:pPr>
        <w:pStyle w:val="Style_3"/>
        <w:numPr>
          <w:ilvl w:val="1"/>
          <w:numId w:val="12"/>
        </w:numPr>
        <w:tabs>
          <w:tab w:leader="none" w:pos="0" w:val="left"/>
          <w:tab w:leader="none" w:pos="1418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>Споры и разногласия, возникающие в рамках исполнения настоящего Договора, разрешаются Сторонами путем переговоров.</w:t>
      </w:r>
    </w:p>
    <w:p w14:paraId="AA000000">
      <w:pPr>
        <w:pStyle w:val="Style_3"/>
        <w:numPr>
          <w:ilvl w:val="1"/>
          <w:numId w:val="12"/>
        </w:numPr>
        <w:tabs>
          <w:tab w:leader="none" w:pos="0" w:val="left"/>
          <w:tab w:leader="none" w:pos="1418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 xml:space="preserve">Если соглашение </w:t>
      </w:r>
      <w:r>
        <w:rPr>
          <w:sz w:val="28"/>
        </w:rPr>
        <w:t>путем переговоров не достигнуто, все споры рассматриваются в претензионном порядке в соответствии с законодательством Российской Федерации.</w:t>
      </w:r>
    </w:p>
    <w:p w14:paraId="AB000000">
      <w:pPr>
        <w:pStyle w:val="Style_3"/>
        <w:numPr>
          <w:ilvl w:val="1"/>
          <w:numId w:val="12"/>
        </w:numPr>
        <w:tabs>
          <w:tab w:leader="none" w:pos="1418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 xml:space="preserve">В </w:t>
      </w:r>
      <w:r>
        <w:rPr>
          <w:sz w:val="28"/>
        </w:rPr>
        <w:t>случае</w:t>
      </w:r>
      <w:r>
        <w:rPr>
          <w:sz w:val="28"/>
        </w:rPr>
        <w:t xml:space="preserve"> невозможности разрешения спора путем переговоров или в претензионном порядке, спор подлежит разрешению в </w:t>
      </w:r>
      <w:r>
        <w:rPr>
          <w:sz w:val="28"/>
        </w:rPr>
        <w:t>судебном порядке.</w:t>
      </w:r>
    </w:p>
    <w:p w14:paraId="AC000000">
      <w:pPr>
        <w:pStyle w:val="Style_3"/>
        <w:tabs>
          <w:tab w:leader="none" w:pos="1418" w:val="left"/>
        </w:tabs>
        <w:spacing w:after="0" w:line="240" w:lineRule="auto"/>
        <w:ind w:firstLine="709" w:left="0" w:right="20"/>
        <w:jc w:val="both"/>
        <w:rPr>
          <w:sz w:val="28"/>
        </w:rPr>
      </w:pPr>
    </w:p>
    <w:p w14:paraId="AD000000">
      <w:pPr>
        <w:pStyle w:val="Style_3"/>
        <w:numPr>
          <w:ilvl w:val="0"/>
          <w:numId w:val="13"/>
        </w:numPr>
        <w:tabs>
          <w:tab w:leader="none" w:pos="1418" w:val="left"/>
        </w:tabs>
        <w:spacing w:after="0" w:line="240" w:lineRule="auto"/>
        <w:ind w:firstLine="709" w:left="0" w:right="20"/>
        <w:jc w:val="both"/>
        <w:rPr>
          <w:b w:val="1"/>
          <w:sz w:val="28"/>
        </w:rPr>
      </w:pPr>
      <w:r>
        <w:rPr>
          <w:b w:val="1"/>
          <w:sz w:val="28"/>
        </w:rPr>
        <w:t>Порядок внесения изменений, дополнений в Договор и его расторжение.</w:t>
      </w:r>
    </w:p>
    <w:p w14:paraId="AE000000">
      <w:pPr>
        <w:pStyle w:val="Style_8"/>
        <w:widowControl w:val="0"/>
        <w:numPr>
          <w:ilvl w:val="1"/>
          <w:numId w:val="13"/>
        </w:num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Односторонний отказ от исполнения настоящего Договора и одностороннее изменение его условий не допускаются. </w:t>
      </w:r>
    </w:p>
    <w:p w14:paraId="AF000000">
      <w:pPr>
        <w:pStyle w:val="Style_8"/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Договор </w:t>
      </w:r>
      <w:r>
        <w:rPr>
          <w:rFonts w:ascii="Times New Roman" w:hAnsi="Times New Roman"/>
          <w:sz w:val="28"/>
        </w:rPr>
        <w:t>может быть досрочно расторгнут</w:t>
      </w:r>
      <w:r>
        <w:rPr>
          <w:rFonts w:ascii="Times New Roman" w:hAnsi="Times New Roman"/>
          <w:sz w:val="28"/>
        </w:rPr>
        <w:t xml:space="preserve"> по соглашению Сторон,</w:t>
      </w:r>
      <w:r>
        <w:rPr>
          <w:rFonts w:ascii="Times New Roman" w:hAnsi="Times New Roman"/>
          <w:sz w:val="28"/>
        </w:rPr>
        <w:t xml:space="preserve"> а также по основаниям, предусмотренным законодательством Российской Федерации.</w:t>
      </w:r>
    </w:p>
    <w:p w14:paraId="B0000000">
      <w:pPr>
        <w:pStyle w:val="Style_8"/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Расторжение настоящего Договора не влечет прекращения обязательств, возникших в период его действия.</w:t>
      </w:r>
    </w:p>
    <w:p w14:paraId="B1000000">
      <w:pPr>
        <w:pStyle w:val="Style_3"/>
        <w:numPr>
          <w:ilvl w:val="1"/>
          <w:numId w:val="13"/>
        </w:numPr>
        <w:tabs>
          <w:tab w:leader="none" w:pos="0" w:val="left"/>
        </w:tabs>
        <w:spacing w:after="0" w:line="240" w:lineRule="auto"/>
        <w:ind w:firstLine="709" w:left="0"/>
        <w:jc w:val="both"/>
        <w:rPr>
          <w:sz w:val="28"/>
        </w:rPr>
      </w:pPr>
      <w:r>
        <w:rPr>
          <w:sz w:val="28"/>
        </w:rPr>
        <w:t>Все изменения и дополнения к настоящему Договору действительны лишь в том с</w:t>
      </w:r>
      <w:r>
        <w:rPr>
          <w:sz w:val="28"/>
        </w:rPr>
        <w:t>лучае, если они совершены в письменной форме и подписаны уполномоченными представителями обеих Сторон и скреплены печатями либо внесены в настоящий Договор в соответствии со вступившими в законную силу решениями суда.</w:t>
      </w:r>
    </w:p>
    <w:p w14:paraId="B2000000">
      <w:pPr>
        <w:pStyle w:val="Style_3"/>
        <w:tabs>
          <w:tab w:leader="none" w:pos="1134" w:val="left"/>
        </w:tabs>
        <w:spacing w:after="0" w:line="240" w:lineRule="auto"/>
        <w:ind w:firstLine="709" w:left="0"/>
        <w:jc w:val="both"/>
        <w:rPr>
          <w:sz w:val="28"/>
        </w:rPr>
      </w:pPr>
      <w:r>
        <w:rPr>
          <w:sz w:val="28"/>
        </w:rPr>
        <w:t>В договор могут быть внесены изменения</w:t>
      </w:r>
      <w:r>
        <w:rPr>
          <w:sz w:val="28"/>
        </w:rPr>
        <w:t>, которые оформляются Сторонами дополнительными соглашениями к настоящему Договору.</w:t>
      </w:r>
    </w:p>
    <w:p w14:paraId="B3000000">
      <w:pPr>
        <w:pStyle w:val="Style_8"/>
        <w:widowControl w:val="0"/>
        <w:numPr>
          <w:ilvl w:val="1"/>
          <w:numId w:val="13"/>
        </w:num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</w:t>
      </w:r>
      <w:r>
        <w:rPr>
          <w:rFonts w:ascii="Times New Roman" w:hAnsi="Times New Roman"/>
          <w:sz w:val="28"/>
        </w:rPr>
        <w:t>случае</w:t>
      </w:r>
      <w:r>
        <w:rPr>
          <w:rFonts w:ascii="Times New Roman" w:hAnsi="Times New Roman"/>
          <w:sz w:val="28"/>
        </w:rPr>
        <w:t xml:space="preserve"> издания правомочными органами Российской Федерации нормативных правовых актов, изменяющих условия Договора, размер платы, сборов и порядок их оплаты, в настоящий Д</w:t>
      </w:r>
      <w:r>
        <w:rPr>
          <w:rFonts w:ascii="Times New Roman" w:hAnsi="Times New Roman"/>
          <w:sz w:val="28"/>
        </w:rPr>
        <w:t>оговор вносятся соответствующие изменения и дополнения.</w:t>
      </w:r>
      <w:r>
        <w:rPr>
          <w:sz w:val="28"/>
        </w:rPr>
        <w:t xml:space="preserve"> </w:t>
      </w:r>
    </w:p>
    <w:p w14:paraId="B4000000">
      <w:pPr>
        <w:pStyle w:val="Style_3"/>
        <w:numPr>
          <w:ilvl w:val="1"/>
          <w:numId w:val="13"/>
        </w:numPr>
        <w:tabs>
          <w:tab w:leader="none" w:pos="0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sz w:val="28"/>
        </w:rPr>
        <w:t xml:space="preserve">В </w:t>
      </w:r>
      <w:r>
        <w:rPr>
          <w:sz w:val="28"/>
        </w:rPr>
        <w:t>случае</w:t>
      </w:r>
      <w:r>
        <w:rPr>
          <w:sz w:val="28"/>
        </w:rPr>
        <w:t xml:space="preserve"> изменения технического оснащения Сторон либо технологии проведения ими работ настоящий Договор по предложению одной из Сторон может быть изменен до истечения срока его действия.</w:t>
      </w:r>
    </w:p>
    <w:p w14:paraId="B5000000">
      <w:pPr>
        <w:pStyle w:val="Style_3"/>
        <w:tabs>
          <w:tab w:leader="none" w:pos="0" w:val="left"/>
        </w:tabs>
        <w:spacing w:after="0" w:line="240" w:lineRule="auto"/>
        <w:ind w:firstLine="709" w:left="0" w:right="20"/>
        <w:jc w:val="both"/>
        <w:rPr>
          <w:sz w:val="28"/>
        </w:rPr>
      </w:pPr>
    </w:p>
    <w:p w14:paraId="B6000000">
      <w:pPr>
        <w:pStyle w:val="Style_3"/>
        <w:numPr>
          <w:ilvl w:val="0"/>
          <w:numId w:val="14"/>
        </w:numPr>
        <w:tabs>
          <w:tab w:leader="none" w:pos="1418" w:val="left"/>
        </w:tabs>
        <w:spacing w:after="0" w:line="240" w:lineRule="auto"/>
        <w:ind w:firstLine="709" w:left="0" w:right="20"/>
        <w:jc w:val="both"/>
        <w:rPr>
          <w:b w:val="1"/>
          <w:sz w:val="28"/>
          <w:u w:color="FFFFFF"/>
        </w:rPr>
      </w:pPr>
      <w:r>
        <w:rPr>
          <w:b w:val="1"/>
          <w:sz w:val="28"/>
        </w:rPr>
        <w:t xml:space="preserve">Прочие </w:t>
      </w:r>
      <w:r>
        <w:rPr>
          <w:b w:val="1"/>
          <w:sz w:val="28"/>
        </w:rPr>
        <w:t>условия.</w:t>
      </w:r>
    </w:p>
    <w:p w14:paraId="B7000000">
      <w:pPr>
        <w:pStyle w:val="Style_3"/>
        <w:numPr>
          <w:ilvl w:val="1"/>
          <w:numId w:val="14"/>
        </w:numPr>
        <w:spacing w:after="0" w:line="240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Настоящий Договор заключается сроком с «___» ________ </w:t>
      </w:r>
      <w:r>
        <w:rPr>
          <w:sz w:val="28"/>
        </w:rPr>
        <w:t>____</w:t>
      </w:r>
      <w:r>
        <w:rPr>
          <w:sz w:val="28"/>
        </w:rPr>
        <w:t>г</w:t>
      </w:r>
      <w:r>
        <w:rPr>
          <w:sz w:val="28"/>
        </w:rPr>
        <w:t xml:space="preserve">.  по «___» __________ </w:t>
      </w:r>
      <w:r>
        <w:rPr>
          <w:sz w:val="28"/>
        </w:rPr>
        <w:t>____г</w:t>
      </w:r>
      <w:r>
        <w:rPr>
          <w:sz w:val="28"/>
        </w:rPr>
        <w:t xml:space="preserve">. </w:t>
      </w:r>
      <w:r>
        <w:rPr>
          <w:sz w:val="28"/>
        </w:rPr>
        <w:tab/>
      </w:r>
      <w:r>
        <w:rPr>
          <w:sz w:val="28"/>
        </w:rPr>
        <w:t>включительно.</w:t>
      </w:r>
    </w:p>
    <w:p w14:paraId="B8000000">
      <w:pPr>
        <w:pStyle w:val="Style_3"/>
        <w:numPr>
          <w:ilvl w:val="1"/>
          <w:numId w:val="14"/>
        </w:numPr>
        <w:tabs>
          <w:tab w:leader="none" w:pos="1418" w:val="left"/>
        </w:tabs>
        <w:spacing w:after="0" w:line="240" w:lineRule="auto"/>
        <w:ind w:firstLine="709" w:left="0" w:right="20"/>
        <w:jc w:val="both"/>
        <w:rPr>
          <w:sz w:val="28"/>
          <w:u w:color="FFFFFF"/>
        </w:rPr>
      </w:pPr>
      <w:r>
        <w:rPr>
          <w:sz w:val="28"/>
        </w:rPr>
        <w:t>Настоящий Договор составлен в двух экземплярах, имеющих одинаковую силу, по одному для каждой из Сторон.</w:t>
      </w:r>
    </w:p>
    <w:p w14:paraId="B9000000">
      <w:pPr>
        <w:pStyle w:val="Style_3"/>
        <w:tabs>
          <w:tab w:leader="none" w:pos="1418" w:val="left"/>
        </w:tabs>
        <w:spacing w:after="0" w:line="240" w:lineRule="auto"/>
        <w:ind w:firstLine="709" w:left="0" w:right="20"/>
        <w:jc w:val="both"/>
        <w:rPr>
          <w:sz w:val="28"/>
          <w:u w:color="FFFFFF"/>
        </w:rPr>
      </w:pPr>
    </w:p>
    <w:p w14:paraId="BA000000">
      <w:pPr>
        <w:pStyle w:val="Style_3"/>
        <w:numPr>
          <w:ilvl w:val="0"/>
          <w:numId w:val="14"/>
        </w:numPr>
        <w:tabs>
          <w:tab w:leader="none" w:pos="0" w:val="left"/>
          <w:tab w:leader="none" w:pos="284" w:val="left"/>
        </w:tabs>
        <w:spacing w:after="0" w:line="240" w:lineRule="auto"/>
        <w:ind w:firstLine="709" w:left="0" w:right="20"/>
        <w:jc w:val="both"/>
        <w:rPr>
          <w:sz w:val="28"/>
        </w:rPr>
      </w:pPr>
      <w:r>
        <w:rPr>
          <w:b w:val="1"/>
          <w:sz w:val="28"/>
        </w:rPr>
        <w:t>Адреса и реквизиты Сторон.</w:t>
      </w:r>
    </w:p>
    <w:sectPr>
      <w:headerReference r:id="rId1" w:type="default"/>
      <w:pgSz w:h="16838" w:w="11906"/>
      <w:pgMar w:bottom="851" w:footer="709" w:gutter="0" w:header="709" w:left="1418" w:right="851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w="http://schemas.openxmlformats.org/wordprocessingml/2006/main">
  <w:p>
    <w:pPr>
      <w:framePr w:hAnchor="margin" w:vAnchor="text" w:wrap="around" w:xAlign="center" w:y="1"/>
    </w:pPr>
    <w:r>
      <w:fldChar w:fldCharType="begin"/>
    </w:r>
    <w:r>
      <w:instrText xml:space="preserve">PAGE </w:instrText>
    </w:r>
    <w:r>
      <w:fldChar w:fldCharType="separate"/>
    </w:r>
    <w:r>
      <w:fldChar w:fldCharType="end"/>
    </w:r>
  </w:p>
  <w:p xmlns:p1="http://schemas.microsoft.com/office/word/2010/wordml" p1:paraId="01000000">
    <w:pPr>
      <w:pStyle w:val="Style_1"/>
      <w:ind/>
      <w:jc w:val="center"/>
    </w:pPr>
  </w:p>
  <w:p xmlns:p1="http://schemas.microsoft.com/office/word/2010/wordml" p1:paraId="02000000">
    <w:pPr>
      <w:pStyle w:val="Style_1"/>
    </w:pP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0">
    <w:lvl w:ilvl="0">
      <w:start w:val="1"/>
      <w:numFmt w:val="decimal"/>
      <w:lvlText w:val="%1."/>
      <w:rPr>
        <w:rFonts w:ascii="Times New Roman" w:hAnsi="Times New Roman"/>
        <w:b w:val="1"/>
        <w:i w:val="0"/>
        <w:smallCaps w:val="0"/>
        <w:strike w:val="0"/>
        <w:color w:val="000000"/>
        <w:spacing w:val="-1"/>
        <w:sz w:val="28"/>
        <w:u w:val="none"/>
      </w:rPr>
    </w:lvl>
    <w:lvl w:ilvl="1">
      <w:start w:val="1"/>
      <w:numFmt w:val="decimal"/>
      <w:lvlText w:val="%1.%2."/>
      <w:rPr>
        <w:rFonts w:ascii="Times New Roman" w:hAnsi="Times New Roman"/>
        <w:b w:val="0"/>
        <w:i w:val="0"/>
        <w:smallCaps w:val="0"/>
        <w:strike w:val="0"/>
        <w:color w:val="000000"/>
        <w:spacing w:val="-1"/>
        <w:sz w:val="28"/>
        <w:u w:val="none"/>
      </w:rPr>
    </w:lvl>
    <w:lvl w:ilvl="2">
      <w:start w:val="1"/>
      <w:numFmt w:val="decimal"/>
      <w:lvlText w:val="%1.%2.%3."/>
      <w:rPr>
        <w:rFonts w:ascii="Times New Roman" w:hAnsi="Times New Roman"/>
        <w:b w:val="0"/>
        <w:i w:val="0"/>
        <w:smallCaps w:val="0"/>
        <w:strike w:val="0"/>
        <w:color w:val="000000"/>
        <w:spacing w:val="-1"/>
        <w:sz w:val="22"/>
        <w:u w:val="none"/>
      </w:rPr>
    </w:lvl>
    <w:lvl w:ilvl="3">
      <w:numFmt w:val="decimal"/>
      <w:lvlText w:val=""/>
    </w:lvl>
    <w:lvl w:ilvl="4">
      <w:numFmt w:val="decimal"/>
      <w:lvlText w:val=""/>
    </w:lvl>
    <w:lvl w:ilvl="5">
      <w:numFmt w:val="decimal"/>
      <w:lvlText w:val=""/>
    </w:lvl>
    <w:lvl w:ilvl="6">
      <w:numFmt w:val="decimal"/>
      <w:lvlText w:val=""/>
    </w:lvl>
    <w:lvl w:ilvl="7">
      <w:numFmt w:val="decimal"/>
      <w:lvlText w:val=""/>
    </w:lvl>
    <w:lvl w:ilvl="8">
      <w:numFmt w:val="decimal"/>
      <w:lvlText w:val=""/>
    </w:lvl>
  </w:abstractNum>
  <w:abstractNum w:abstractNumId="1">
    <w:lvl w:ilvl="0">
      <w:start w:val="2"/>
      <w:numFmt w:val="decimal"/>
      <w:lvlText w:val="%1."/>
      <w:pPr>
        <w:ind w:hanging="450" w:left="450"/>
      </w:pPr>
    </w:lvl>
    <w:lvl w:ilvl="1">
      <w:start w:val="1"/>
      <w:numFmt w:val="decimal"/>
      <w:lvlText w:val="%1.%2."/>
      <w:pPr>
        <w:ind w:hanging="720" w:left="720"/>
      </w:pPr>
      <w:rPr>
        <w:strike w:val="0"/>
      </w:rPr>
    </w:lvl>
    <w:lvl w:ilvl="2">
      <w:start w:val="1"/>
      <w:numFmt w:val="decimal"/>
      <w:lvlText w:val="%1.%2.%3."/>
      <w:pPr>
        <w:ind w:hanging="720" w:left="720"/>
      </w:pPr>
    </w:lvl>
    <w:lvl w:ilvl="3">
      <w:start w:val="1"/>
      <w:numFmt w:val="decimal"/>
      <w:lvlText w:val="%1.%2.%3.%4."/>
      <w:pPr>
        <w:ind w:hanging="1080" w:left="1080"/>
      </w:pPr>
    </w:lvl>
    <w:lvl w:ilvl="4">
      <w:start w:val="1"/>
      <w:numFmt w:val="decimal"/>
      <w:lvlText w:val="%1.%2.%3.%4.%5."/>
      <w:pPr>
        <w:ind w:hanging="1080" w:left="1080"/>
      </w:pPr>
    </w:lvl>
    <w:lvl w:ilvl="5">
      <w:start w:val="1"/>
      <w:numFmt w:val="decimal"/>
      <w:lvlText w:val="%1.%2.%3.%4.%5.%6."/>
      <w:pPr>
        <w:ind w:hanging="1440" w:left="1440"/>
      </w:pPr>
    </w:lvl>
    <w:lvl w:ilvl="6">
      <w:start w:val="1"/>
      <w:numFmt w:val="decimal"/>
      <w:lvlText w:val="%1.%2.%3.%4.%5.%6.%7."/>
      <w:pPr>
        <w:ind w:hanging="1800" w:left="1800"/>
      </w:pPr>
    </w:lvl>
    <w:lvl w:ilvl="7">
      <w:start w:val="1"/>
      <w:numFmt w:val="decimal"/>
      <w:lvlText w:val="%1.%2.%3.%4.%5.%6.%7.%8."/>
      <w:pPr>
        <w:ind w:hanging="1800" w:left="1800"/>
      </w:pPr>
    </w:lvl>
    <w:lvl w:ilvl="8">
      <w:start w:val="1"/>
      <w:numFmt w:val="decimal"/>
      <w:lvlText w:val="%1.%2.%3.%4.%5.%6.%7.%8.%9."/>
      <w:pPr>
        <w:ind w:hanging="2160" w:left="2160"/>
      </w:pPr>
    </w:lvl>
  </w:abstractNum>
  <w:abstractNum w:abstractNumId="2">
    <w:lvl w:ilvl="0">
      <w:start w:val="3"/>
      <w:numFmt w:val="decimal"/>
      <w:lvlText w:val="%1."/>
      <w:pPr>
        <w:ind w:hanging="450" w:left="450"/>
      </w:pPr>
    </w:lvl>
    <w:lvl w:ilvl="1">
      <w:start w:val="1"/>
      <w:numFmt w:val="decimal"/>
      <w:lvlText w:val="%1.%2."/>
      <w:pPr>
        <w:ind w:hanging="720" w:left="720"/>
      </w:pPr>
    </w:lvl>
    <w:lvl w:ilvl="2">
      <w:start w:val="1"/>
      <w:numFmt w:val="decimal"/>
      <w:lvlText w:val="%1.%2.%3."/>
      <w:pPr>
        <w:ind w:hanging="720" w:left="720"/>
      </w:pPr>
    </w:lvl>
    <w:lvl w:ilvl="3">
      <w:start w:val="1"/>
      <w:numFmt w:val="decimal"/>
      <w:lvlText w:val="%1.%2.%3.%4."/>
      <w:pPr>
        <w:ind w:hanging="1080" w:left="1080"/>
      </w:pPr>
    </w:lvl>
    <w:lvl w:ilvl="4">
      <w:start w:val="1"/>
      <w:numFmt w:val="decimal"/>
      <w:lvlText w:val="%1.%2.%3.%4.%5."/>
      <w:pPr>
        <w:ind w:hanging="1080" w:left="1080"/>
      </w:pPr>
    </w:lvl>
    <w:lvl w:ilvl="5">
      <w:start w:val="1"/>
      <w:numFmt w:val="decimal"/>
      <w:lvlText w:val="%1.%2.%3.%4.%5.%6."/>
      <w:pPr>
        <w:ind w:hanging="1440" w:left="1440"/>
      </w:pPr>
    </w:lvl>
    <w:lvl w:ilvl="6">
      <w:start w:val="1"/>
      <w:numFmt w:val="decimal"/>
      <w:lvlText w:val="%1.%2.%3.%4.%5.%6.%7."/>
      <w:pPr>
        <w:ind w:hanging="1800" w:left="1800"/>
      </w:pPr>
    </w:lvl>
    <w:lvl w:ilvl="7">
      <w:start w:val="1"/>
      <w:numFmt w:val="decimal"/>
      <w:lvlText w:val="%1.%2.%3.%4.%5.%6.%7.%8."/>
      <w:pPr>
        <w:ind w:hanging="1800" w:left="1800"/>
      </w:pPr>
    </w:lvl>
    <w:lvl w:ilvl="8">
      <w:start w:val="1"/>
      <w:numFmt w:val="decimal"/>
      <w:lvlText w:val="%1.%2.%3.%4.%5.%6.%7.%8.%9."/>
      <w:pPr>
        <w:ind w:hanging="2160" w:left="2160"/>
      </w:pPr>
    </w:lvl>
  </w:abstractNum>
  <w:abstractNum w:abstractNumId="3">
    <w:lvl w:ilvl="0">
      <w:start w:val="3"/>
      <w:numFmt w:val="decimal"/>
      <w:lvlText w:val="%1."/>
      <w:pPr>
        <w:ind w:hanging="360" w:left="360"/>
      </w:pPr>
    </w:lvl>
    <w:lvl w:ilvl="1">
      <w:start w:val="3"/>
      <w:numFmt w:val="decimal"/>
      <w:lvlText w:val="%1.%2."/>
      <w:pPr>
        <w:ind w:hanging="360" w:left="360"/>
      </w:pPr>
    </w:lvl>
    <w:lvl w:ilvl="2">
      <w:start w:val="1"/>
      <w:numFmt w:val="decimal"/>
      <w:lvlText w:val="%1.%2.%3."/>
      <w:pPr>
        <w:ind w:hanging="720" w:left="720"/>
      </w:pPr>
    </w:lvl>
    <w:lvl w:ilvl="3">
      <w:start w:val="1"/>
      <w:numFmt w:val="decimal"/>
      <w:lvlText w:val="%1.%2.%3.%4."/>
      <w:pPr>
        <w:ind w:hanging="720" w:left="720"/>
      </w:pPr>
    </w:lvl>
    <w:lvl w:ilvl="4">
      <w:start w:val="1"/>
      <w:numFmt w:val="decimal"/>
      <w:lvlText w:val="%1.%2.%3.%4.%5."/>
      <w:pPr>
        <w:ind w:hanging="1080" w:left="1080"/>
      </w:pPr>
    </w:lvl>
    <w:lvl w:ilvl="5">
      <w:start w:val="1"/>
      <w:numFmt w:val="decimal"/>
      <w:lvlText w:val="%1.%2.%3.%4.%5.%6."/>
      <w:pPr>
        <w:ind w:hanging="1080" w:left="1080"/>
      </w:pPr>
    </w:lvl>
    <w:lvl w:ilvl="6">
      <w:start w:val="1"/>
      <w:numFmt w:val="decimal"/>
      <w:lvlText w:val="%1.%2.%3.%4.%5.%6.%7."/>
      <w:pPr>
        <w:ind w:hanging="1440" w:left="1440"/>
      </w:pPr>
    </w:lvl>
    <w:lvl w:ilvl="7">
      <w:start w:val="1"/>
      <w:numFmt w:val="decimal"/>
      <w:lvlText w:val="%1.%2.%3.%4.%5.%6.%7.%8."/>
      <w:pPr>
        <w:ind w:hanging="1440" w:left="1440"/>
      </w:pPr>
    </w:lvl>
    <w:lvl w:ilvl="8">
      <w:start w:val="1"/>
      <w:numFmt w:val="decimal"/>
      <w:lvlText w:val="%1.%2.%3.%4.%5.%6.%7.%8.%9."/>
      <w:pPr>
        <w:ind w:hanging="1800" w:left="1800"/>
      </w:pPr>
    </w:lvl>
  </w:abstractNum>
  <w:abstractNum w:abstractNumId="4">
    <w:lvl w:ilvl="0">
      <w:start w:val="4"/>
      <w:numFmt w:val="decimal"/>
      <w:lvlText w:val="%1."/>
      <w:pPr>
        <w:ind w:hanging="450" w:left="450"/>
      </w:pPr>
    </w:lvl>
    <w:lvl w:ilvl="1">
      <w:start w:val="1"/>
      <w:numFmt w:val="decimal"/>
      <w:lvlText w:val="%1.%2."/>
      <w:pPr>
        <w:ind w:hanging="720" w:left="720"/>
      </w:pPr>
    </w:lvl>
    <w:lvl w:ilvl="2">
      <w:start w:val="1"/>
      <w:numFmt w:val="decimal"/>
      <w:lvlText w:val="%1.%2.%3."/>
      <w:pPr>
        <w:ind w:hanging="720" w:left="720"/>
      </w:pPr>
    </w:lvl>
    <w:lvl w:ilvl="3">
      <w:start w:val="1"/>
      <w:numFmt w:val="decimal"/>
      <w:lvlText w:val="%1.%2.%3.%4."/>
      <w:pPr>
        <w:ind w:hanging="1080" w:left="1080"/>
      </w:pPr>
    </w:lvl>
    <w:lvl w:ilvl="4">
      <w:start w:val="1"/>
      <w:numFmt w:val="decimal"/>
      <w:lvlText w:val="%1.%2.%3.%4.%5."/>
      <w:pPr>
        <w:ind w:hanging="1080" w:left="1080"/>
      </w:pPr>
    </w:lvl>
    <w:lvl w:ilvl="5">
      <w:start w:val="1"/>
      <w:numFmt w:val="decimal"/>
      <w:lvlText w:val="%1.%2.%3.%4.%5.%6."/>
      <w:pPr>
        <w:ind w:hanging="1440" w:left="1440"/>
      </w:pPr>
    </w:lvl>
    <w:lvl w:ilvl="6">
      <w:start w:val="1"/>
      <w:numFmt w:val="decimal"/>
      <w:lvlText w:val="%1.%2.%3.%4.%5.%6.%7."/>
      <w:pPr>
        <w:ind w:hanging="1800" w:left="1800"/>
      </w:pPr>
    </w:lvl>
    <w:lvl w:ilvl="7">
      <w:start w:val="1"/>
      <w:numFmt w:val="decimal"/>
      <w:lvlText w:val="%1.%2.%3.%4.%5.%6.%7.%8."/>
      <w:pPr>
        <w:ind w:hanging="1800" w:left="1800"/>
      </w:pPr>
    </w:lvl>
    <w:lvl w:ilvl="8">
      <w:start w:val="1"/>
      <w:numFmt w:val="decimal"/>
      <w:lvlText w:val="%1.%2.%3.%4.%5.%6.%7.%8.%9."/>
      <w:pPr>
        <w:ind w:hanging="2160" w:left="2160"/>
      </w:pPr>
    </w:lvl>
  </w:abstractNum>
  <w:abstractNum w:abstractNumId="5">
    <w:lvl w:ilvl="0">
      <w:start w:val="5"/>
      <w:numFmt w:val="decimal"/>
      <w:lvlText w:val="%1."/>
      <w:pPr>
        <w:ind w:hanging="450" w:left="450"/>
      </w:pPr>
    </w:lvl>
    <w:lvl w:ilvl="1">
      <w:start w:val="1"/>
      <w:numFmt w:val="decimal"/>
      <w:lvlText w:val="%1.%2."/>
      <w:pPr>
        <w:ind w:hanging="720" w:left="720"/>
      </w:pPr>
    </w:lvl>
    <w:lvl w:ilvl="2">
      <w:start w:val="1"/>
      <w:numFmt w:val="decimal"/>
      <w:lvlText w:val="%1.%2.%3."/>
      <w:pPr>
        <w:ind w:hanging="720" w:left="720"/>
      </w:pPr>
    </w:lvl>
    <w:lvl w:ilvl="3">
      <w:start w:val="1"/>
      <w:numFmt w:val="decimal"/>
      <w:lvlText w:val="%1.%2.%3.%4."/>
      <w:pPr>
        <w:ind w:hanging="1080" w:left="1080"/>
      </w:pPr>
    </w:lvl>
    <w:lvl w:ilvl="4">
      <w:start w:val="1"/>
      <w:numFmt w:val="decimal"/>
      <w:lvlText w:val="%1.%2.%3.%4.%5."/>
      <w:pPr>
        <w:ind w:hanging="1080" w:left="1080"/>
      </w:pPr>
    </w:lvl>
    <w:lvl w:ilvl="5">
      <w:start w:val="1"/>
      <w:numFmt w:val="decimal"/>
      <w:lvlText w:val="%1.%2.%3.%4.%5.%6."/>
      <w:pPr>
        <w:ind w:hanging="1440" w:left="1440"/>
      </w:pPr>
    </w:lvl>
    <w:lvl w:ilvl="6">
      <w:start w:val="1"/>
      <w:numFmt w:val="decimal"/>
      <w:lvlText w:val="%1.%2.%3.%4.%5.%6.%7."/>
      <w:pPr>
        <w:ind w:hanging="1800" w:left="1800"/>
      </w:pPr>
    </w:lvl>
    <w:lvl w:ilvl="7">
      <w:start w:val="1"/>
      <w:numFmt w:val="decimal"/>
      <w:lvlText w:val="%1.%2.%3.%4.%5.%6.%7.%8."/>
      <w:pPr>
        <w:ind w:hanging="1800" w:left="1800"/>
      </w:pPr>
    </w:lvl>
    <w:lvl w:ilvl="8">
      <w:start w:val="1"/>
      <w:numFmt w:val="decimal"/>
      <w:lvlText w:val="%1.%2.%3.%4.%5.%6.%7.%8.%9."/>
      <w:pPr>
        <w:ind w:hanging="2160" w:left="2160"/>
      </w:pPr>
    </w:lvl>
  </w:abstractNum>
  <w:abstractNum w:abstractNumId="6">
    <w:lvl w:ilvl="0">
      <w:start w:val="1"/>
      <w:numFmt w:val="decimal"/>
      <w:lvlText w:val="%1)"/>
      <w:rPr>
        <w:rFonts w:ascii="Times New Roman" w:hAnsi="Times New Roman"/>
        <w:b w:val="0"/>
        <w:i w:val="0"/>
        <w:smallCaps w:val="0"/>
        <w:strike w:val="0"/>
        <w:color w:val="000000"/>
        <w:spacing w:val="-1"/>
        <w:sz w:val="28"/>
        <w:u w:val="none"/>
      </w:rPr>
    </w:lvl>
    <w:lvl w:ilvl="1">
      <w:numFmt w:val="decimal"/>
      <w:lvlText w:val=""/>
    </w:lvl>
    <w:lvl w:ilvl="2">
      <w:numFmt w:val="decimal"/>
      <w:lvlText w:val=""/>
    </w:lvl>
    <w:lvl w:ilvl="3">
      <w:numFmt w:val="decimal"/>
      <w:lvlText w:val=""/>
    </w:lvl>
    <w:lvl w:ilvl="4">
      <w:numFmt w:val="decimal"/>
      <w:lvlText w:val=""/>
    </w:lvl>
    <w:lvl w:ilvl="5">
      <w:numFmt w:val="decimal"/>
      <w:lvlText w:val=""/>
    </w:lvl>
    <w:lvl w:ilvl="6">
      <w:numFmt w:val="decimal"/>
      <w:lvlText w:val=""/>
    </w:lvl>
    <w:lvl w:ilvl="7">
      <w:numFmt w:val="decimal"/>
      <w:lvlText w:val=""/>
    </w:lvl>
    <w:lvl w:ilvl="8">
      <w:numFmt w:val="decimal"/>
      <w:lvlText w:val=""/>
    </w:lvl>
  </w:abstractNum>
  <w:abstractNum w:abstractNumId="7">
    <w:lvl w:ilvl="0">
      <w:start w:val="5"/>
      <w:numFmt w:val="decimal"/>
      <w:lvlText w:val="%1."/>
      <w:pPr>
        <w:ind w:hanging="600" w:left="600"/>
      </w:pPr>
    </w:lvl>
    <w:lvl w:ilvl="1">
      <w:start w:val="12"/>
      <w:numFmt w:val="decimal"/>
      <w:lvlText w:val="%1.%2."/>
      <w:pPr>
        <w:ind w:hanging="720" w:left="720"/>
      </w:pPr>
    </w:lvl>
    <w:lvl w:ilvl="2">
      <w:start w:val="1"/>
      <w:numFmt w:val="decimal"/>
      <w:lvlText w:val="%1.%2.%3."/>
      <w:pPr>
        <w:ind w:hanging="720" w:left="720"/>
      </w:pPr>
    </w:lvl>
    <w:lvl w:ilvl="3">
      <w:start w:val="1"/>
      <w:numFmt w:val="decimal"/>
      <w:lvlText w:val="%1.%2.%3.%4."/>
      <w:pPr>
        <w:ind w:hanging="1080" w:left="1080"/>
      </w:pPr>
    </w:lvl>
    <w:lvl w:ilvl="4">
      <w:start w:val="1"/>
      <w:numFmt w:val="decimal"/>
      <w:lvlText w:val="%1.%2.%3.%4.%5."/>
      <w:pPr>
        <w:ind w:hanging="1080" w:left="1080"/>
      </w:pPr>
    </w:lvl>
    <w:lvl w:ilvl="5">
      <w:start w:val="1"/>
      <w:numFmt w:val="decimal"/>
      <w:lvlText w:val="%1.%2.%3.%4.%5.%6."/>
      <w:pPr>
        <w:ind w:hanging="1440" w:left="1440"/>
      </w:pPr>
    </w:lvl>
    <w:lvl w:ilvl="6">
      <w:start w:val="1"/>
      <w:numFmt w:val="decimal"/>
      <w:lvlText w:val="%1.%2.%3.%4.%5.%6.%7."/>
      <w:pPr>
        <w:ind w:hanging="1800" w:left="1800"/>
      </w:pPr>
    </w:lvl>
    <w:lvl w:ilvl="7">
      <w:start w:val="1"/>
      <w:numFmt w:val="decimal"/>
      <w:lvlText w:val="%1.%2.%3.%4.%5.%6.%7.%8."/>
      <w:pPr>
        <w:ind w:hanging="1800" w:left="1800"/>
      </w:pPr>
    </w:lvl>
    <w:lvl w:ilvl="8">
      <w:start w:val="1"/>
      <w:numFmt w:val="decimal"/>
      <w:lvlText w:val="%1.%2.%3.%4.%5.%6.%7.%8.%9."/>
      <w:pPr>
        <w:ind w:hanging="2160" w:left="2160"/>
      </w:pPr>
    </w:lvl>
  </w:abstractNum>
  <w:abstractNum w:abstractNumId="8">
    <w:lvl w:ilvl="0">
      <w:start w:val="6"/>
      <w:numFmt w:val="decimal"/>
      <w:lvlText w:val="%1."/>
      <w:pPr>
        <w:ind w:hanging="450" w:left="450"/>
      </w:pPr>
      <w:rPr>
        <w:b w:val="1"/>
        <w:sz w:val="28"/>
      </w:rPr>
    </w:lvl>
    <w:lvl w:ilvl="1">
      <w:start w:val="1"/>
      <w:numFmt w:val="decimal"/>
      <w:lvlText w:val="%1.%2."/>
      <w:pPr>
        <w:ind w:hanging="450" w:left="450"/>
      </w:pPr>
      <w:rPr>
        <w:b w:val="0"/>
        <w:color w:val="000000"/>
        <w:sz w:val="28"/>
      </w:rPr>
    </w:lvl>
    <w:lvl w:ilvl="2">
      <w:start w:val="1"/>
      <w:numFmt w:val="decimal"/>
      <w:lvlText w:val="%1.%2.%3."/>
      <w:pPr>
        <w:ind w:hanging="720" w:left="720"/>
      </w:pPr>
      <w:rPr>
        <w:b w:val="0"/>
        <w:sz w:val="28"/>
      </w:rPr>
    </w:lvl>
    <w:lvl w:ilvl="3">
      <w:start w:val="1"/>
      <w:numFmt w:val="decimal"/>
      <w:lvlText w:val="%1.%2.%3.%4."/>
      <w:pPr>
        <w:ind w:hanging="720" w:left="720"/>
      </w:pPr>
      <w:rPr>
        <w:b w:val="1"/>
        <w:sz w:val="28"/>
      </w:rPr>
    </w:lvl>
    <w:lvl w:ilvl="4">
      <w:start w:val="1"/>
      <w:numFmt w:val="decimal"/>
      <w:lvlText w:val="%1.%2.%3.%4.%5."/>
      <w:pPr>
        <w:ind w:hanging="1080" w:left="1080"/>
      </w:pPr>
      <w:rPr>
        <w:b w:val="1"/>
        <w:sz w:val="28"/>
      </w:rPr>
    </w:lvl>
    <w:lvl w:ilvl="5">
      <w:start w:val="1"/>
      <w:numFmt w:val="decimal"/>
      <w:lvlText w:val="%1.%2.%3.%4.%5.%6."/>
      <w:pPr>
        <w:ind w:hanging="1080" w:left="1080"/>
      </w:pPr>
      <w:rPr>
        <w:b w:val="1"/>
        <w:sz w:val="28"/>
      </w:rPr>
    </w:lvl>
    <w:lvl w:ilvl="6">
      <w:start w:val="1"/>
      <w:numFmt w:val="decimal"/>
      <w:lvlText w:val="%1.%2.%3.%4.%5.%6.%7."/>
      <w:pPr>
        <w:ind w:hanging="1440" w:left="1440"/>
      </w:pPr>
      <w:rPr>
        <w:b w:val="1"/>
        <w:sz w:val="28"/>
      </w:rPr>
    </w:lvl>
    <w:lvl w:ilvl="7">
      <w:start w:val="1"/>
      <w:numFmt w:val="decimal"/>
      <w:lvlText w:val="%1.%2.%3.%4.%5.%6.%7.%8."/>
      <w:pPr>
        <w:ind w:hanging="1440" w:left="1440"/>
      </w:pPr>
      <w:rPr>
        <w:b w:val="1"/>
        <w:sz w:val="28"/>
      </w:rPr>
    </w:lvl>
    <w:lvl w:ilvl="8">
      <w:start w:val="1"/>
      <w:numFmt w:val="decimal"/>
      <w:lvlText w:val="%1.%2.%3.%4.%5.%6.%7.%8.%9."/>
      <w:pPr>
        <w:ind w:hanging="1800" w:left="1800"/>
      </w:pPr>
      <w:rPr>
        <w:b w:val="1"/>
        <w:sz w:val="28"/>
      </w:rPr>
    </w:lvl>
  </w:abstractNum>
  <w:abstractNum w:abstractNumId="9">
    <w:lvl w:ilvl="0">
      <w:start w:val="7"/>
      <w:numFmt w:val="decimal"/>
      <w:lvlText w:val="%1."/>
      <w:pPr>
        <w:ind w:hanging="360" w:left="360"/>
      </w:pPr>
    </w:lvl>
    <w:lvl w:ilvl="1">
      <w:start w:val="1"/>
      <w:numFmt w:val="decimal"/>
      <w:lvlText w:val="%1.%2."/>
      <w:pPr>
        <w:ind w:hanging="360" w:left="360"/>
      </w:pPr>
    </w:lvl>
    <w:lvl w:ilvl="2">
      <w:start w:val="1"/>
      <w:numFmt w:val="decimal"/>
      <w:lvlText w:val="%1.%2.%3."/>
      <w:pPr>
        <w:ind w:hanging="720" w:left="720"/>
      </w:pPr>
    </w:lvl>
    <w:lvl w:ilvl="3">
      <w:start w:val="1"/>
      <w:numFmt w:val="decimal"/>
      <w:lvlText w:val="%1.%2.%3.%4."/>
      <w:pPr>
        <w:ind w:hanging="720" w:left="720"/>
      </w:pPr>
    </w:lvl>
    <w:lvl w:ilvl="4">
      <w:start w:val="1"/>
      <w:numFmt w:val="decimal"/>
      <w:lvlText w:val="%1.%2.%3.%4.%5."/>
      <w:pPr>
        <w:ind w:hanging="1080" w:left="1080"/>
      </w:pPr>
    </w:lvl>
    <w:lvl w:ilvl="5">
      <w:start w:val="1"/>
      <w:numFmt w:val="decimal"/>
      <w:lvlText w:val="%1.%2.%3.%4.%5.%6."/>
      <w:pPr>
        <w:ind w:hanging="1080" w:left="1080"/>
      </w:pPr>
    </w:lvl>
    <w:lvl w:ilvl="6">
      <w:start w:val="1"/>
      <w:numFmt w:val="decimal"/>
      <w:lvlText w:val="%1.%2.%3.%4.%5.%6.%7."/>
      <w:pPr>
        <w:ind w:hanging="1440" w:left="1440"/>
      </w:pPr>
    </w:lvl>
    <w:lvl w:ilvl="7">
      <w:start w:val="1"/>
      <w:numFmt w:val="decimal"/>
      <w:lvlText w:val="%1.%2.%3.%4.%5.%6.%7.%8."/>
      <w:pPr>
        <w:ind w:hanging="1440" w:left="1440"/>
      </w:pPr>
    </w:lvl>
    <w:lvl w:ilvl="8">
      <w:start w:val="1"/>
      <w:numFmt w:val="decimal"/>
      <w:lvlText w:val="%1.%2.%3.%4.%5.%6.%7.%8.%9."/>
      <w:pPr>
        <w:ind w:hanging="1800" w:left="1800"/>
      </w:pPr>
    </w:lvl>
  </w:abstractNum>
  <w:abstractNum w:abstractNumId="10">
    <w:lvl w:ilvl="0">
      <w:start w:val="9"/>
      <w:numFmt w:val="decimal"/>
      <w:lvlText w:val="%1."/>
      <w:pPr>
        <w:ind w:hanging="360" w:left="360"/>
      </w:pPr>
    </w:lvl>
    <w:lvl w:ilvl="1">
      <w:start w:val="1"/>
      <w:numFmt w:val="decimal"/>
      <w:lvlText w:val="%1.%2."/>
      <w:pPr>
        <w:ind w:hanging="360" w:left="360"/>
      </w:pPr>
      <w:rPr>
        <w:b w:val="0"/>
      </w:rPr>
    </w:lvl>
    <w:lvl w:ilvl="2">
      <w:start w:val="1"/>
      <w:numFmt w:val="decimal"/>
      <w:lvlText w:val="%1.%2.%3."/>
      <w:pPr>
        <w:ind w:hanging="720" w:left="720"/>
      </w:pPr>
    </w:lvl>
    <w:lvl w:ilvl="3">
      <w:start w:val="1"/>
      <w:numFmt w:val="decimal"/>
      <w:lvlText w:val="%1.%2.%3.%4."/>
      <w:pPr>
        <w:ind w:hanging="720" w:left="720"/>
      </w:pPr>
    </w:lvl>
    <w:lvl w:ilvl="4">
      <w:start w:val="1"/>
      <w:numFmt w:val="decimal"/>
      <w:lvlText w:val="%1.%2.%3.%4.%5."/>
      <w:pPr>
        <w:ind w:hanging="1080" w:left="1080"/>
      </w:pPr>
    </w:lvl>
    <w:lvl w:ilvl="5">
      <w:start w:val="1"/>
      <w:numFmt w:val="decimal"/>
      <w:lvlText w:val="%1.%2.%3.%4.%5.%6."/>
      <w:pPr>
        <w:ind w:hanging="1080" w:left="1080"/>
      </w:pPr>
    </w:lvl>
    <w:lvl w:ilvl="6">
      <w:start w:val="1"/>
      <w:numFmt w:val="decimal"/>
      <w:lvlText w:val="%1.%2.%3.%4.%5.%6.%7."/>
      <w:pPr>
        <w:ind w:hanging="1440" w:left="1440"/>
      </w:pPr>
    </w:lvl>
    <w:lvl w:ilvl="7">
      <w:start w:val="1"/>
      <w:numFmt w:val="decimal"/>
      <w:lvlText w:val="%1.%2.%3.%4.%5.%6.%7.%8."/>
      <w:pPr>
        <w:ind w:hanging="1440" w:left="1440"/>
      </w:pPr>
    </w:lvl>
    <w:lvl w:ilvl="8">
      <w:start w:val="1"/>
      <w:numFmt w:val="decimal"/>
      <w:lvlText w:val="%1.%2.%3.%4.%5.%6.%7.%8.%9."/>
      <w:pPr>
        <w:ind w:hanging="1800" w:left="1800"/>
      </w:pPr>
    </w:lvl>
  </w:abstractNum>
  <w:abstractNum w:abstractNumId="11">
    <w:lvl w:ilvl="0">
      <w:start w:val="10"/>
      <w:numFmt w:val="decimal"/>
      <w:lvlText w:val="%1."/>
      <w:pPr>
        <w:ind w:hanging="600" w:left="600"/>
      </w:pPr>
    </w:lvl>
    <w:lvl w:ilvl="1">
      <w:start w:val="1"/>
      <w:numFmt w:val="decimal"/>
      <w:lvlText w:val="%1.%2."/>
      <w:pPr>
        <w:ind w:hanging="720" w:left="2141"/>
      </w:pPr>
    </w:lvl>
    <w:lvl w:ilvl="2">
      <w:start w:val="1"/>
      <w:numFmt w:val="decimal"/>
      <w:lvlText w:val="%1.%2.%3."/>
      <w:pPr>
        <w:ind w:hanging="720" w:left="3562"/>
      </w:pPr>
    </w:lvl>
    <w:lvl w:ilvl="3">
      <w:start w:val="1"/>
      <w:numFmt w:val="decimal"/>
      <w:lvlText w:val="%1.%2.%3.%4."/>
      <w:pPr>
        <w:ind w:hanging="1080" w:left="5343"/>
      </w:pPr>
    </w:lvl>
    <w:lvl w:ilvl="4">
      <w:start w:val="1"/>
      <w:numFmt w:val="decimal"/>
      <w:lvlText w:val="%1.%2.%3.%4.%5."/>
      <w:pPr>
        <w:ind w:hanging="1080" w:left="6764"/>
      </w:pPr>
    </w:lvl>
    <w:lvl w:ilvl="5">
      <w:start w:val="1"/>
      <w:numFmt w:val="decimal"/>
      <w:lvlText w:val="%1.%2.%3.%4.%5.%6."/>
      <w:pPr>
        <w:ind w:hanging="1440" w:left="8545"/>
      </w:pPr>
    </w:lvl>
    <w:lvl w:ilvl="6">
      <w:start w:val="1"/>
      <w:numFmt w:val="decimal"/>
      <w:lvlText w:val="%1.%2.%3.%4.%5.%6.%7."/>
      <w:pPr>
        <w:ind w:hanging="1800" w:left="10326"/>
      </w:pPr>
    </w:lvl>
    <w:lvl w:ilvl="7">
      <w:start w:val="1"/>
      <w:numFmt w:val="decimal"/>
      <w:lvlText w:val="%1.%2.%3.%4.%5.%6.%7.%8."/>
      <w:pPr>
        <w:ind w:hanging="1800" w:left="11747"/>
      </w:pPr>
    </w:lvl>
    <w:lvl w:ilvl="8">
      <w:start w:val="1"/>
      <w:numFmt w:val="decimal"/>
      <w:lvlText w:val="%1.%2.%3.%4.%5.%6.%7.%8.%9."/>
      <w:pPr>
        <w:ind w:hanging="2160" w:left="13528"/>
      </w:pPr>
    </w:lvl>
  </w:abstractNum>
  <w:abstractNum w:abstractNumId="12">
    <w:lvl w:ilvl="0">
      <w:start w:val="11"/>
      <w:numFmt w:val="decimal"/>
      <w:lvlText w:val="%1."/>
      <w:pPr>
        <w:ind w:hanging="600" w:left="600"/>
      </w:pPr>
    </w:lvl>
    <w:lvl w:ilvl="1">
      <w:start w:val="1"/>
      <w:numFmt w:val="decimal"/>
      <w:lvlText w:val="%1.%2."/>
      <w:pPr>
        <w:ind w:hanging="720" w:left="2141"/>
      </w:pPr>
    </w:lvl>
    <w:lvl w:ilvl="2">
      <w:start w:val="1"/>
      <w:numFmt w:val="decimal"/>
      <w:lvlText w:val="%1.%2.%3."/>
      <w:pPr>
        <w:ind w:hanging="720" w:left="3562"/>
      </w:pPr>
    </w:lvl>
    <w:lvl w:ilvl="3">
      <w:start w:val="1"/>
      <w:numFmt w:val="decimal"/>
      <w:lvlText w:val="%1.%2.%3.%4."/>
      <w:pPr>
        <w:ind w:hanging="1080" w:left="5343"/>
      </w:pPr>
    </w:lvl>
    <w:lvl w:ilvl="4">
      <w:start w:val="1"/>
      <w:numFmt w:val="decimal"/>
      <w:lvlText w:val="%1.%2.%3.%4.%5."/>
      <w:pPr>
        <w:ind w:hanging="1080" w:left="6764"/>
      </w:pPr>
    </w:lvl>
    <w:lvl w:ilvl="5">
      <w:start w:val="1"/>
      <w:numFmt w:val="decimal"/>
      <w:lvlText w:val="%1.%2.%3.%4.%5.%6."/>
      <w:pPr>
        <w:ind w:hanging="1440" w:left="8545"/>
      </w:pPr>
    </w:lvl>
    <w:lvl w:ilvl="6">
      <w:start w:val="1"/>
      <w:numFmt w:val="decimal"/>
      <w:lvlText w:val="%1.%2.%3.%4.%5.%6.%7."/>
      <w:pPr>
        <w:ind w:hanging="1800" w:left="10326"/>
      </w:pPr>
    </w:lvl>
    <w:lvl w:ilvl="7">
      <w:start w:val="1"/>
      <w:numFmt w:val="decimal"/>
      <w:lvlText w:val="%1.%2.%3.%4.%5.%6.%7.%8."/>
      <w:pPr>
        <w:ind w:hanging="1800" w:left="11747"/>
      </w:pPr>
    </w:lvl>
    <w:lvl w:ilvl="8">
      <w:start w:val="1"/>
      <w:numFmt w:val="decimal"/>
      <w:lvlText w:val="%1.%2.%3.%4.%5.%6.%7.%8.%9."/>
      <w:pPr>
        <w:ind w:hanging="2160" w:left="13528"/>
      </w:pPr>
    </w:lvl>
  </w:abstractNum>
  <w:abstractNum w:abstractNumId="13">
    <w:lvl w:ilvl="0">
      <w:start w:val="12"/>
      <w:numFmt w:val="decimal"/>
      <w:lvlText w:val="%1."/>
      <w:pPr>
        <w:ind w:hanging="600" w:left="600"/>
      </w:pPr>
      <w:rPr>
        <w:b w:val="1"/>
      </w:rPr>
    </w:lvl>
    <w:lvl w:ilvl="1">
      <w:start w:val="1"/>
      <w:numFmt w:val="decimal"/>
      <w:lvlText w:val="%1.%2."/>
      <w:pPr>
        <w:ind w:hanging="720" w:left="2141"/>
      </w:pPr>
    </w:lvl>
    <w:lvl w:ilvl="2">
      <w:start w:val="1"/>
      <w:numFmt w:val="decimal"/>
      <w:lvlText w:val="%1.%2.%3."/>
      <w:pPr>
        <w:ind w:hanging="720" w:left="3562"/>
      </w:pPr>
    </w:lvl>
    <w:lvl w:ilvl="3">
      <w:start w:val="1"/>
      <w:numFmt w:val="decimal"/>
      <w:lvlText w:val="%1.%2.%3.%4."/>
      <w:pPr>
        <w:ind w:hanging="1080" w:left="5343"/>
      </w:pPr>
    </w:lvl>
    <w:lvl w:ilvl="4">
      <w:start w:val="1"/>
      <w:numFmt w:val="decimal"/>
      <w:lvlText w:val="%1.%2.%3.%4.%5."/>
      <w:pPr>
        <w:ind w:hanging="1080" w:left="6764"/>
      </w:pPr>
    </w:lvl>
    <w:lvl w:ilvl="5">
      <w:start w:val="1"/>
      <w:numFmt w:val="decimal"/>
      <w:lvlText w:val="%1.%2.%3.%4.%5.%6."/>
      <w:pPr>
        <w:ind w:hanging="1440" w:left="8545"/>
      </w:pPr>
    </w:lvl>
    <w:lvl w:ilvl="6">
      <w:start w:val="1"/>
      <w:numFmt w:val="decimal"/>
      <w:lvlText w:val="%1.%2.%3.%4.%5.%6.%7."/>
      <w:pPr>
        <w:ind w:hanging="1800" w:left="10326"/>
      </w:pPr>
    </w:lvl>
    <w:lvl w:ilvl="7">
      <w:start w:val="1"/>
      <w:numFmt w:val="decimal"/>
      <w:lvlText w:val="%1.%2.%3.%4.%5.%6.%7.%8."/>
      <w:pPr>
        <w:ind w:hanging="1800" w:left="11747"/>
      </w:pPr>
    </w:lvl>
    <w:lvl w:ilvl="8">
      <w:start w:val="1"/>
      <w:numFmt w:val="decimal"/>
      <w:lvlText w:val="%1.%2.%3.%4.%5.%6.%7.%8.%9."/>
      <w:pPr>
        <w:ind w:hanging="2160" w:left="13528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w="http://schemas.openxmlformats.org/wordprocessingml/2006/main">
  <w:defaultTabStop w:val="709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w="http://schemas.openxmlformats.org/wordprocessingml/2006/main">
  <w:docDefaults>
    <w:rPrDefault>
      <w:rPr>
        <w:rFonts w:asciiTheme="minorAsci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9" w:type="paragraph">
    <w:name w:val="Normal"/>
    <w:link w:val="Style_9_ch"/>
    <w:uiPriority w:val="0"/>
    <w:qFormat/>
    <w:rPr>
      <w:rFonts w:ascii="Calibri" w:hAnsi="Calibri"/>
    </w:rPr>
  </w:style>
  <w:style w:default="1" w:styleId="Style_9_ch" w:type="character">
    <w:name w:val="Normal"/>
    <w:link w:val="Style_9"/>
    <w:rPr>
      <w:rFonts w:ascii="Calibri" w:hAnsi="Calibri"/>
    </w:rPr>
  </w:style>
  <w:style w:styleId="Style_10" w:type="paragraph">
    <w:name w:val="toc 2"/>
    <w:link w:val="Style_10_ch"/>
    <w:uiPriority w:val="39"/>
    <w:pPr>
      <w:ind w:firstLine="0" w:left="200"/>
    </w:pPr>
  </w:style>
  <w:style w:styleId="Style_10_ch" w:type="character">
    <w:name w:val="toc 2"/>
    <w:link w:val="Style_10"/>
  </w:style>
  <w:style w:styleId="Style_11" w:type="paragraph">
    <w:name w:val="toc 4"/>
    <w:link w:val="Style_11_ch"/>
    <w:uiPriority w:val="39"/>
    <w:pPr>
      <w:ind w:firstLine="0" w:left="600"/>
    </w:pPr>
  </w:style>
  <w:style w:styleId="Style_11_ch" w:type="character">
    <w:name w:val="toc 4"/>
    <w:link w:val="Style_11"/>
  </w:style>
  <w:style w:styleId="Style_12" w:type="paragraph">
    <w:name w:val="toc 6"/>
    <w:link w:val="Style_12_ch"/>
    <w:uiPriority w:val="39"/>
    <w:pPr>
      <w:ind w:firstLine="0" w:left="1000"/>
    </w:pPr>
  </w:style>
  <w:style w:styleId="Style_12_ch" w:type="character">
    <w:name w:val="toc 6"/>
    <w:link w:val="Style_12"/>
  </w:style>
  <w:style w:styleId="Style_13" w:type="paragraph">
    <w:name w:val="toc 7"/>
    <w:link w:val="Style_13_ch"/>
    <w:uiPriority w:val="39"/>
    <w:pPr>
      <w:ind w:firstLine="0" w:left="1200"/>
    </w:pPr>
  </w:style>
  <w:style w:styleId="Style_13_ch" w:type="character">
    <w:name w:val="toc 7"/>
    <w:link w:val="Style_13"/>
  </w:style>
  <w:style w:styleId="Style_14" w:type="paragraph">
    <w:name w:val="ConsNormal"/>
    <w:link w:val="Style_14_ch"/>
    <w:pPr>
      <w:widowControl w:val="0"/>
      <w:spacing w:after="0" w:line="240" w:lineRule="auto"/>
      <w:ind w:firstLine="720" w:left="0"/>
    </w:pPr>
    <w:rPr>
      <w:rFonts w:ascii="Times New Roman" w:hAnsi="Times New Roman"/>
    </w:rPr>
  </w:style>
  <w:style w:styleId="Style_14_ch" w:type="character">
    <w:name w:val="ConsNormal"/>
    <w:link w:val="Style_14"/>
    <w:rPr>
      <w:rFonts w:ascii="Times New Roman" w:hAnsi="Times New Roman"/>
    </w:rPr>
  </w:style>
  <w:style w:styleId="Style_15" w:type="paragraph">
    <w:link w:val="Style_15_ch"/>
    <w:semiHidden w:val="1"/>
    <w:unhideWhenUsed w:val="1"/>
    <w:pPr>
      <w:spacing w:after="0" w:line="240" w:lineRule="auto"/>
      <w:ind/>
    </w:pPr>
    <w:rPr>
      <w:rFonts w:ascii="Calibri" w:hAnsi="Calibri"/>
    </w:rPr>
  </w:style>
  <w:style w:styleId="Style_15_ch" w:type="character">
    <w:link w:val="Style_15"/>
    <w:semiHidden w:val="1"/>
    <w:unhideWhenUsed w:val="1"/>
    <w:rPr>
      <w:rFonts w:ascii="Calibri" w:hAnsi="Calibri"/>
    </w:rPr>
  </w:style>
  <w:style w:styleId="Style_16" w:type="paragraph">
    <w:name w:val="Основной шрифт абзаца1"/>
    <w:link w:val="Style_16_ch"/>
  </w:style>
  <w:style w:styleId="Style_16_ch" w:type="character">
    <w:name w:val="Основной шрифт абзаца1"/>
    <w:link w:val="Style_16"/>
  </w:style>
  <w:style w:styleId="Style_17" w:type="paragraph">
    <w:name w:val="heading 3"/>
    <w:link w:val="Style_17_ch"/>
    <w:uiPriority w:val="9"/>
    <w:qFormat/>
    <w:pPr>
      <w:ind/>
      <w:outlineLvl w:val="2"/>
    </w:pPr>
    <w:rPr>
      <w:rFonts w:ascii="XO Thames" w:hAnsi="XO Thames"/>
      <w:b w:val="1"/>
      <w:i w:val="1"/>
    </w:rPr>
  </w:style>
  <w:style w:styleId="Style_17_ch" w:type="character">
    <w:name w:val="heading 3"/>
    <w:link w:val="Style_17"/>
    <w:rPr>
      <w:rFonts w:ascii="XO Thames" w:hAnsi="XO Thames"/>
      <w:b w:val="1"/>
      <w:i w:val="1"/>
    </w:rPr>
  </w:style>
  <w:style w:styleId="Style_3" w:type="paragraph">
    <w:name w:val="Основной текст1"/>
    <w:basedOn w:val="Style_9"/>
    <w:link w:val="Style_3_ch"/>
    <w:pPr>
      <w:widowControl w:val="0"/>
      <w:spacing w:after="420" w:line="240" w:lineRule="atLeast"/>
      <w:ind/>
      <w:jc w:val="right"/>
    </w:pPr>
    <w:rPr>
      <w:rFonts w:ascii="Times New Roman" w:hAnsi="Times New Roman"/>
      <w:spacing w:val="-1"/>
    </w:rPr>
  </w:style>
  <w:style w:styleId="Style_3_ch" w:type="character">
    <w:name w:val="Основной текст1"/>
    <w:basedOn w:val="Style_9_ch"/>
    <w:link w:val="Style_3"/>
    <w:rPr>
      <w:rFonts w:ascii="Times New Roman" w:hAnsi="Times New Roman"/>
      <w:spacing w:val="-1"/>
    </w:rPr>
  </w:style>
  <w:style w:styleId="Style_18" w:type="paragraph">
    <w:name w:val="Знак1 Знак Знак Знак Знак Знак Знак Знак Знак1 Char"/>
    <w:basedOn w:val="Style_9"/>
    <w:link w:val="Style_18_ch"/>
    <w:pPr>
      <w:spacing w:after="160" w:line="240" w:lineRule="exact"/>
      <w:ind/>
    </w:pPr>
    <w:rPr>
      <w:rFonts w:ascii="Verdana" w:hAnsi="Verdana"/>
      <w:sz w:val="20"/>
    </w:rPr>
  </w:style>
  <w:style w:styleId="Style_18_ch" w:type="character">
    <w:name w:val="Знак1 Знак Знак Знак Знак Знак Знак Знак Знак1 Char"/>
    <w:basedOn w:val="Style_9_ch"/>
    <w:link w:val="Style_18"/>
    <w:rPr>
      <w:rFonts w:ascii="Verdana" w:hAnsi="Verdana"/>
      <w:sz w:val="20"/>
    </w:rPr>
  </w:style>
  <w:style w:styleId="Style_19" w:type="paragraph">
    <w:name w:val="ConsPlusNonformat"/>
    <w:link w:val="Style_19_ch"/>
    <w:pPr>
      <w:widowControl w:val="0"/>
      <w:spacing w:after="0" w:line="240" w:lineRule="auto"/>
      <w:ind/>
    </w:pPr>
    <w:rPr>
      <w:rFonts w:ascii="Courier New" w:hAnsi="Courier New"/>
      <w:sz w:val="20"/>
    </w:rPr>
  </w:style>
  <w:style w:styleId="Style_19_ch" w:type="character">
    <w:name w:val="ConsPlusNonformat"/>
    <w:link w:val="Style_19"/>
    <w:rPr>
      <w:rFonts w:ascii="Courier New" w:hAnsi="Courier New"/>
      <w:sz w:val="20"/>
    </w:rPr>
  </w:style>
  <w:style w:styleId="Style_20" w:type="paragraph">
    <w:name w:val="Обычный1"/>
    <w:link w:val="Style_20_ch"/>
    <w:rPr>
      <w:rFonts w:ascii="Calibri" w:hAnsi="Calibri"/>
    </w:rPr>
  </w:style>
  <w:style w:styleId="Style_20_ch" w:type="character">
    <w:name w:val="Обычный1"/>
    <w:link w:val="Style_20"/>
    <w:rPr>
      <w:rFonts w:ascii="Calibri" w:hAnsi="Calibri"/>
    </w:rPr>
  </w:style>
  <w:style w:styleId="Style_21" w:type="paragraph">
    <w:name w:val="Основной текст + MS Mincho"/>
    <w:basedOn w:val="Style_3"/>
    <w:link w:val="Style_21_ch"/>
    <w:rPr>
      <w:rFonts w:ascii="MS Mincho" w:hAnsi="MS Mincho"/>
      <w:spacing w:val="0"/>
      <w:sz w:val="21"/>
    </w:rPr>
  </w:style>
  <w:style w:styleId="Style_21_ch" w:type="character">
    <w:name w:val="Основной текст + MS Mincho"/>
    <w:basedOn w:val="Style_3_ch"/>
    <w:link w:val="Style_21"/>
    <w:rPr>
      <w:rFonts w:ascii="MS Mincho" w:hAnsi="MS Mincho"/>
      <w:spacing w:val="0"/>
      <w:sz w:val="21"/>
    </w:rPr>
  </w:style>
  <w:style w:styleId="Style_22" w:type="paragraph">
    <w:name w:val="Знак сноски1"/>
    <w:basedOn w:val="Style_16"/>
    <w:link w:val="Style_22_ch"/>
    <w:rPr>
      <w:vertAlign w:val="superscript"/>
    </w:rPr>
  </w:style>
  <w:style w:styleId="Style_22_ch" w:type="character">
    <w:name w:val="Знак сноски1"/>
    <w:basedOn w:val="Style_16_ch"/>
    <w:link w:val="Style_22"/>
    <w:rPr>
      <w:vertAlign w:val="superscript"/>
    </w:rPr>
  </w:style>
  <w:style w:styleId="Style_8" w:type="paragraph">
    <w:name w:val="Абзац списка1"/>
    <w:basedOn w:val="Style_9"/>
    <w:link w:val="Style_8_ch"/>
    <w:pPr>
      <w:ind w:firstLine="0" w:left="720"/>
      <w:contextualSpacing w:val="1"/>
    </w:pPr>
  </w:style>
  <w:style w:styleId="Style_8_ch" w:type="character">
    <w:name w:val="Абзац списка1"/>
    <w:basedOn w:val="Style_9_ch"/>
    <w:link w:val="Style_8"/>
  </w:style>
  <w:style w:styleId="Style_23" w:type="paragraph">
    <w:name w:val="toc 3"/>
    <w:link w:val="Style_23_ch"/>
    <w:uiPriority w:val="39"/>
    <w:pPr>
      <w:ind w:firstLine="0" w:left="400"/>
    </w:pPr>
  </w:style>
  <w:style w:styleId="Style_23_ch" w:type="character">
    <w:name w:val="toc 3"/>
    <w:link w:val="Style_23"/>
  </w:style>
  <w:style w:styleId="Style_24" w:type="paragraph">
    <w:name w:val="Гиперссылка1"/>
    <w:basedOn w:val="Style_16"/>
    <w:link w:val="Style_24_ch"/>
    <w:rPr>
      <w:color w:val="0000FF"/>
      <w:u w:val="single"/>
    </w:rPr>
  </w:style>
  <w:style w:styleId="Style_24_ch" w:type="character">
    <w:name w:val="Гиперссылка1"/>
    <w:basedOn w:val="Style_16_ch"/>
    <w:link w:val="Style_24"/>
    <w:rPr>
      <w:color w:val="0000FF"/>
      <w:u w:val="single"/>
    </w:rPr>
  </w:style>
  <w:style w:styleId="Style_25" w:type="paragraph">
    <w:name w:val="Основной текст + Полужирный"/>
    <w:basedOn w:val="Style_16"/>
    <w:link w:val="Style_25_ch"/>
    <w:rPr>
      <w:rFonts w:ascii="Times New Roman" w:hAnsi="Times New Roman"/>
      <w:b w:val="1"/>
      <w:sz w:val="27"/>
    </w:rPr>
  </w:style>
  <w:style w:styleId="Style_25_ch" w:type="character">
    <w:name w:val="Основной текст + Полужирный"/>
    <w:basedOn w:val="Style_16_ch"/>
    <w:link w:val="Style_25"/>
    <w:rPr>
      <w:rFonts w:ascii="Times New Roman" w:hAnsi="Times New Roman"/>
      <w:b w:val="1"/>
      <w:sz w:val="27"/>
    </w:rPr>
  </w:style>
  <w:style w:styleId="Style_26" w:type="paragraph">
    <w:name w:val="Гиперссылка1"/>
    <w:link w:val="Style_26_ch"/>
    <w:rPr>
      <w:color w:val="0000FF"/>
      <w:u w:val="single"/>
    </w:rPr>
  </w:style>
  <w:style w:styleId="Style_26_ch" w:type="character">
    <w:name w:val="Гиперссылка1"/>
    <w:link w:val="Style_26"/>
    <w:rPr>
      <w:color w:val="0000FF"/>
      <w:u w:val="single"/>
    </w:rPr>
  </w:style>
  <w:style w:styleId="Style_27" w:type="paragraph">
    <w:name w:val="heading 5"/>
    <w:link w:val="Style_27_ch"/>
    <w:uiPriority w:val="9"/>
    <w:qFormat/>
    <w:pPr>
      <w:spacing w:after="120" w:before="120"/>
      <w:ind/>
      <w:outlineLvl w:val="4"/>
    </w:pPr>
    <w:rPr>
      <w:rFonts w:ascii="XO Thames" w:hAnsi="XO Thames"/>
      <w:b w:val="1"/>
    </w:rPr>
  </w:style>
  <w:style w:styleId="Style_27_ch" w:type="character">
    <w:name w:val="heading 5"/>
    <w:link w:val="Style_27"/>
    <w:rPr>
      <w:rFonts w:ascii="XO Thames" w:hAnsi="XO Thames"/>
      <w:b w:val="1"/>
    </w:rPr>
  </w:style>
  <w:style w:styleId="Style_6" w:type="paragraph">
    <w:name w:val="Оглавление"/>
    <w:basedOn w:val="Style_9"/>
    <w:link w:val="Style_6_ch"/>
    <w:pPr>
      <w:widowControl w:val="0"/>
      <w:spacing w:after="0" w:line="278" w:lineRule="exact"/>
      <w:ind w:firstLine="400" w:left="0"/>
      <w:jc w:val="both"/>
    </w:pPr>
    <w:rPr>
      <w:rFonts w:ascii="Times New Roman" w:hAnsi="Times New Roman"/>
      <w:spacing w:val="-1"/>
    </w:rPr>
  </w:style>
  <w:style w:styleId="Style_6_ch" w:type="character">
    <w:name w:val="Оглавление"/>
    <w:basedOn w:val="Style_9_ch"/>
    <w:link w:val="Style_6"/>
    <w:rPr>
      <w:rFonts w:ascii="Times New Roman" w:hAnsi="Times New Roman"/>
      <w:spacing w:val="-1"/>
    </w:rPr>
  </w:style>
  <w:style w:styleId="Style_28" w:type="paragraph">
    <w:name w:val="heading 1"/>
    <w:link w:val="Style_28_ch"/>
    <w:uiPriority w:val="9"/>
    <w:qFormat/>
    <w:pPr>
      <w:spacing w:after="120" w:before="120"/>
      <w:ind/>
      <w:outlineLvl w:val="0"/>
    </w:pPr>
    <w:rPr>
      <w:rFonts w:ascii="XO Thames" w:hAnsi="XO Thames"/>
      <w:b w:val="1"/>
      <w:sz w:val="32"/>
    </w:rPr>
  </w:style>
  <w:style w:styleId="Style_28_ch" w:type="character">
    <w:name w:val="heading 1"/>
    <w:link w:val="Style_28"/>
    <w:rPr>
      <w:rFonts w:ascii="XO Thames" w:hAnsi="XO Thames"/>
      <w:b w:val="1"/>
      <w:sz w:val="32"/>
    </w:rPr>
  </w:style>
  <w:style w:styleId="Style_29" w:type="paragraph">
    <w:name w:val="ConsPlusNormal"/>
    <w:link w:val="Style_29_ch"/>
    <w:pPr>
      <w:widowControl w:val="0"/>
      <w:spacing w:after="0" w:line="240" w:lineRule="auto"/>
      <w:ind w:firstLine="720" w:left="0"/>
    </w:pPr>
    <w:rPr>
      <w:rFonts w:ascii="Arial" w:hAnsi="Arial"/>
      <w:sz w:val="20"/>
    </w:rPr>
  </w:style>
  <w:style w:styleId="Style_29_ch" w:type="character">
    <w:name w:val="ConsPlusNormal"/>
    <w:link w:val="Style_29"/>
    <w:rPr>
      <w:rFonts w:ascii="Arial" w:hAnsi="Arial"/>
      <w:sz w:val="20"/>
    </w:rPr>
  </w:style>
  <w:style w:styleId="Style_30" w:type="paragraph">
    <w:name w:val="Normal (Web)"/>
    <w:basedOn w:val="Style_9"/>
    <w:link w:val="Style_30_ch"/>
    <w:pPr>
      <w:spacing w:after="225" w:line="240" w:lineRule="auto"/>
      <w:ind/>
    </w:pPr>
    <w:rPr>
      <w:rFonts w:ascii="Times New Roman" w:hAnsi="Times New Roman"/>
      <w:sz w:val="24"/>
    </w:rPr>
  </w:style>
  <w:style w:styleId="Style_30_ch" w:type="character">
    <w:name w:val="Normal (Web)"/>
    <w:basedOn w:val="Style_9_ch"/>
    <w:link w:val="Style_30"/>
    <w:rPr>
      <w:rFonts w:ascii="Times New Roman" w:hAnsi="Times New Roman"/>
      <w:sz w:val="24"/>
    </w:rPr>
  </w:style>
  <w:style w:styleId="Style_31" w:type="paragraph">
    <w:name w:val="Обычный1"/>
    <w:link w:val="Style_31_ch"/>
    <w:rPr>
      <w:rFonts w:ascii="Calibri" w:hAnsi="Calibri"/>
    </w:rPr>
  </w:style>
  <w:style w:styleId="Style_31_ch" w:type="character">
    <w:name w:val="Обычный1"/>
    <w:link w:val="Style_31"/>
    <w:rPr>
      <w:rFonts w:ascii="Calibri" w:hAnsi="Calibri"/>
    </w:rPr>
  </w:style>
  <w:style w:styleId="Style_32" w:type="paragraph">
    <w:name w:val="Hyperlink"/>
    <w:link w:val="Style_32_ch"/>
    <w:rPr>
      <w:color w:val="0000FF"/>
      <w:u w:val="single"/>
    </w:rPr>
  </w:style>
  <w:style w:styleId="Style_32_ch" w:type="character">
    <w:name w:val="Hyperlink"/>
    <w:link w:val="Style_32"/>
    <w:rPr>
      <w:color w:val="0000FF"/>
      <w:u w:val="single"/>
    </w:rPr>
  </w:style>
  <w:style w:styleId="Style_33" w:type="paragraph">
    <w:name w:val="Footnote"/>
    <w:basedOn w:val="Style_9"/>
    <w:link w:val="Style_33_ch"/>
    <w:pPr>
      <w:spacing w:after="0" w:line="240" w:lineRule="auto"/>
      <w:ind/>
    </w:pPr>
    <w:rPr>
      <w:sz w:val="20"/>
    </w:rPr>
  </w:style>
  <w:style w:styleId="Style_33_ch" w:type="character">
    <w:name w:val="Footnote"/>
    <w:basedOn w:val="Style_9_ch"/>
    <w:link w:val="Style_33"/>
    <w:rPr>
      <w:sz w:val="20"/>
    </w:rPr>
  </w:style>
  <w:style w:styleId="Style_34" w:type="paragraph">
    <w:name w:val="toc 1"/>
    <w:link w:val="Style_34_ch"/>
    <w:uiPriority w:val="39"/>
    <w:rPr>
      <w:rFonts w:ascii="XO Thames" w:hAnsi="XO Thames"/>
      <w:b w:val="1"/>
    </w:rPr>
  </w:style>
  <w:style w:styleId="Style_34_ch" w:type="character">
    <w:name w:val="toc 1"/>
    <w:link w:val="Style_34"/>
    <w:rPr>
      <w:rFonts w:ascii="XO Thames" w:hAnsi="XO Thames"/>
      <w:b w:val="1"/>
    </w:rPr>
  </w:style>
  <w:style w:styleId="Style_35" w:type="paragraph">
    <w:name w:val="Знак примечания1"/>
    <w:basedOn w:val="Style_16"/>
    <w:link w:val="Style_35_ch"/>
    <w:rPr>
      <w:sz w:val="16"/>
    </w:rPr>
  </w:style>
  <w:style w:styleId="Style_35_ch" w:type="character">
    <w:name w:val="Знак примечания1"/>
    <w:basedOn w:val="Style_16_ch"/>
    <w:link w:val="Style_35"/>
    <w:rPr>
      <w:sz w:val="16"/>
    </w:rPr>
  </w:style>
  <w:style w:styleId="Style_36" w:type="paragraph">
    <w:name w:val="Header and Footer"/>
    <w:link w:val="Style_36_ch"/>
    <w:pPr>
      <w:spacing w:line="360" w:lineRule="auto"/>
      <w:ind/>
    </w:pPr>
    <w:rPr>
      <w:rFonts w:ascii="XO Thames" w:hAnsi="XO Thames"/>
      <w:sz w:val="20"/>
    </w:rPr>
  </w:style>
  <w:style w:styleId="Style_36_ch" w:type="character">
    <w:name w:val="Header and Footer"/>
    <w:link w:val="Style_36"/>
    <w:rPr>
      <w:rFonts w:ascii="XO Thames" w:hAnsi="XO Thames"/>
      <w:sz w:val="20"/>
    </w:rPr>
  </w:style>
  <w:style w:styleId="Style_37" w:type="paragraph">
    <w:name w:val="annotation text"/>
    <w:basedOn w:val="Style_9"/>
    <w:link w:val="Style_37_ch"/>
    <w:pPr>
      <w:spacing w:line="240" w:lineRule="auto"/>
      <w:ind/>
    </w:pPr>
    <w:rPr>
      <w:sz w:val="20"/>
    </w:rPr>
  </w:style>
  <w:style w:styleId="Style_37_ch" w:type="character">
    <w:name w:val="annotation text"/>
    <w:basedOn w:val="Style_9_ch"/>
    <w:link w:val="Style_37"/>
    <w:rPr>
      <w:sz w:val="20"/>
    </w:rPr>
  </w:style>
  <w:style w:styleId="Style_5" w:type="paragraph">
    <w:name w:val="Body text (2)"/>
    <w:basedOn w:val="Style_9"/>
    <w:link w:val="Style_5_ch"/>
    <w:pPr>
      <w:widowControl w:val="0"/>
      <w:spacing w:after="0" w:line="288" w:lineRule="exact"/>
      <w:ind/>
    </w:pPr>
    <w:rPr>
      <w:rFonts w:asciiTheme="minorAscii"/>
      <w:sz w:val="26"/>
    </w:rPr>
  </w:style>
  <w:style w:styleId="Style_5_ch" w:type="character">
    <w:name w:val="Body text (2)"/>
    <w:basedOn w:val="Style_9_ch"/>
    <w:link w:val="Style_5"/>
    <w:rPr>
      <w:rFonts w:asciiTheme="minorAscii"/>
      <w:sz w:val="26"/>
    </w:rPr>
  </w:style>
  <w:style w:styleId="Style_38" w:type="paragraph">
    <w:name w:val="toc 9"/>
    <w:link w:val="Style_38_ch"/>
    <w:uiPriority w:val="39"/>
    <w:pPr>
      <w:ind w:firstLine="0" w:left="1600"/>
    </w:pPr>
  </w:style>
  <w:style w:styleId="Style_38_ch" w:type="character">
    <w:name w:val="toc 9"/>
    <w:link w:val="Style_38"/>
  </w:style>
  <w:style w:styleId="Style_39" w:type="paragraph">
    <w:name w:val="Основной текст + MS Mincho;10;5 pt;Интервал 0 pt"/>
    <w:basedOn w:val="Style_3"/>
    <w:link w:val="Style_39_ch"/>
    <w:rPr>
      <w:rFonts w:ascii="MS Mincho" w:hAnsi="MS Mincho"/>
      <w:spacing w:val="0"/>
      <w:sz w:val="21"/>
    </w:rPr>
  </w:style>
  <w:style w:styleId="Style_39_ch" w:type="character">
    <w:name w:val="Основной текст + MS Mincho;10;5 pt;Интервал 0 pt"/>
    <w:basedOn w:val="Style_3_ch"/>
    <w:link w:val="Style_39"/>
    <w:rPr>
      <w:rFonts w:ascii="MS Mincho" w:hAnsi="MS Mincho"/>
      <w:spacing w:val="0"/>
      <w:sz w:val="21"/>
    </w:rPr>
  </w:style>
  <w:style w:styleId="Style_40" w:type="paragraph">
    <w:name w:val="annotation subject"/>
    <w:basedOn w:val="Style_37"/>
    <w:next w:val="Style_37"/>
    <w:link w:val="Style_40_ch"/>
    <w:rPr>
      <w:b w:val="1"/>
    </w:rPr>
  </w:style>
  <w:style w:styleId="Style_40_ch" w:type="character">
    <w:name w:val="annotation subject"/>
    <w:basedOn w:val="Style_37_ch"/>
    <w:link w:val="Style_40"/>
    <w:rPr>
      <w:b w:val="1"/>
    </w:rPr>
  </w:style>
  <w:style w:styleId="Style_41" w:type="paragraph">
    <w:name w:val="footer"/>
    <w:basedOn w:val="Style_9"/>
    <w:link w:val="Style_41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41_ch" w:type="character">
    <w:name w:val="footer"/>
    <w:basedOn w:val="Style_9_ch"/>
    <w:link w:val="Style_41"/>
  </w:style>
  <w:style w:styleId="Style_42" w:type="paragraph">
    <w:name w:val="toc 8"/>
    <w:link w:val="Style_42_ch"/>
    <w:uiPriority w:val="39"/>
    <w:pPr>
      <w:ind w:firstLine="0" w:left="1400"/>
    </w:pPr>
  </w:style>
  <w:style w:styleId="Style_42_ch" w:type="character">
    <w:name w:val="toc 8"/>
    <w:link w:val="Style_42"/>
  </w:style>
  <w:style w:styleId="Style_4" w:type="paragraph">
    <w:name w:val="List Paragraph"/>
    <w:basedOn w:val="Style_9"/>
    <w:link w:val="Style_4_ch"/>
    <w:pPr>
      <w:ind w:firstLine="0" w:left="720"/>
      <w:contextualSpacing w:val="1"/>
    </w:pPr>
  </w:style>
  <w:style w:styleId="Style_4_ch" w:type="character">
    <w:name w:val="List Paragraph"/>
    <w:basedOn w:val="Style_9_ch"/>
    <w:link w:val="Style_4"/>
  </w:style>
  <w:style w:styleId="Style_43" w:type="paragraph">
    <w:name w:val="Balloon Text"/>
    <w:basedOn w:val="Style_9"/>
    <w:link w:val="Style_43_ch"/>
    <w:pPr>
      <w:spacing w:after="0" w:line="240" w:lineRule="auto"/>
      <w:ind/>
    </w:pPr>
    <w:rPr>
      <w:rFonts w:ascii="Tahoma" w:hAnsi="Tahoma"/>
      <w:sz w:val="16"/>
    </w:rPr>
  </w:style>
  <w:style w:styleId="Style_43_ch" w:type="character">
    <w:name w:val="Balloon Text"/>
    <w:basedOn w:val="Style_9_ch"/>
    <w:link w:val="Style_43"/>
    <w:rPr>
      <w:rFonts w:ascii="Tahoma" w:hAnsi="Tahoma"/>
      <w:sz w:val="16"/>
    </w:rPr>
  </w:style>
  <w:style w:styleId="Style_44" w:type="paragraph">
    <w:name w:val="Основной текст + 9 pt"/>
    <w:basedOn w:val="Style_3"/>
    <w:link w:val="Style_44_ch"/>
    <w:rPr>
      <w:b w:val="1"/>
      <w:spacing w:val="0"/>
      <w:sz w:val="18"/>
    </w:rPr>
  </w:style>
  <w:style w:styleId="Style_44_ch" w:type="character">
    <w:name w:val="Основной текст + 9 pt"/>
    <w:basedOn w:val="Style_3_ch"/>
    <w:link w:val="Style_44"/>
    <w:rPr>
      <w:b w:val="1"/>
      <w:spacing w:val="0"/>
      <w:sz w:val="18"/>
    </w:rPr>
  </w:style>
  <w:style w:styleId="Style_45" w:type="paragraph">
    <w:link w:val="Style_45_ch"/>
    <w:semiHidden w:val="1"/>
    <w:unhideWhenUsed w:val="1"/>
    <w:pPr>
      <w:spacing w:after="0" w:line="240" w:lineRule="auto"/>
      <w:ind/>
    </w:pPr>
  </w:style>
  <w:style w:styleId="Style_45_ch" w:type="character">
    <w:link w:val="Style_45"/>
    <w:semiHidden w:val="1"/>
    <w:unhideWhenUsed w:val="1"/>
  </w:style>
  <w:style w:styleId="Style_1" w:type="paragraph">
    <w:name w:val="header"/>
    <w:basedOn w:val="Style_9"/>
    <w:link w:val="Style_1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_ch" w:type="character">
    <w:name w:val="header"/>
    <w:basedOn w:val="Style_9_ch"/>
    <w:link w:val="Style_1"/>
  </w:style>
  <w:style w:styleId="Style_46" w:type="paragraph">
    <w:name w:val="toc 5"/>
    <w:link w:val="Style_46_ch"/>
    <w:uiPriority w:val="39"/>
    <w:pPr>
      <w:ind w:firstLine="0" w:left="800"/>
    </w:pPr>
  </w:style>
  <w:style w:styleId="Style_46_ch" w:type="character">
    <w:name w:val="toc 5"/>
    <w:link w:val="Style_46"/>
  </w:style>
  <w:style w:styleId="Style_47" w:type="paragraph">
    <w:name w:val="Заголовок №1"/>
    <w:basedOn w:val="Style_9"/>
    <w:link w:val="Style_47_ch"/>
    <w:pPr>
      <w:widowControl w:val="0"/>
      <w:spacing w:after="0" w:line="278" w:lineRule="exact"/>
      <w:ind/>
      <w:outlineLvl w:val="0"/>
    </w:pPr>
    <w:rPr>
      <w:rFonts w:ascii="Candara" w:hAnsi="Candara"/>
      <w:b w:val="1"/>
      <w:spacing w:val="2"/>
      <w:sz w:val="17"/>
    </w:rPr>
  </w:style>
  <w:style w:styleId="Style_47_ch" w:type="character">
    <w:name w:val="Заголовок №1"/>
    <w:basedOn w:val="Style_9_ch"/>
    <w:link w:val="Style_47"/>
    <w:rPr>
      <w:rFonts w:ascii="Candara" w:hAnsi="Candara"/>
      <w:b w:val="1"/>
      <w:spacing w:val="2"/>
      <w:sz w:val="17"/>
    </w:rPr>
  </w:style>
  <w:style w:styleId="Style_2" w:type="paragraph">
    <w:name w:val="Основной текст (2)"/>
    <w:basedOn w:val="Style_9"/>
    <w:link w:val="Style_2_ch"/>
    <w:pPr>
      <w:widowControl w:val="0"/>
      <w:spacing w:after="0" w:before="420" w:line="365" w:lineRule="exact"/>
      <w:ind/>
      <w:jc w:val="center"/>
    </w:pPr>
    <w:rPr>
      <w:rFonts w:ascii="Times New Roman" w:hAnsi="Times New Roman"/>
      <w:b w:val="1"/>
      <w:spacing w:val="-1"/>
    </w:rPr>
  </w:style>
  <w:style w:styleId="Style_2_ch" w:type="character">
    <w:name w:val="Основной текст (2)"/>
    <w:basedOn w:val="Style_9_ch"/>
    <w:link w:val="Style_2"/>
    <w:rPr>
      <w:rFonts w:ascii="Times New Roman" w:hAnsi="Times New Roman"/>
      <w:b w:val="1"/>
      <w:spacing w:val="-1"/>
    </w:rPr>
  </w:style>
  <w:style w:styleId="Style_48" w:type="paragraph">
    <w:name w:val="Subtitle"/>
    <w:link w:val="Style_48_ch"/>
    <w:uiPriority w:val="11"/>
    <w:qFormat/>
    <w:rPr>
      <w:rFonts w:ascii="XO Thames" w:hAnsi="XO Thames"/>
      <w:i w:val="1"/>
      <w:color w:val="616161"/>
      <w:sz w:val="24"/>
    </w:rPr>
  </w:style>
  <w:style w:styleId="Style_48_ch" w:type="character">
    <w:name w:val="Subtitle"/>
    <w:link w:val="Style_48"/>
    <w:rPr>
      <w:rFonts w:ascii="XO Thames" w:hAnsi="XO Thames"/>
      <w:i w:val="1"/>
      <w:color w:val="616161"/>
      <w:sz w:val="24"/>
    </w:rPr>
  </w:style>
  <w:style w:styleId="Style_49" w:type="paragraph">
    <w:name w:val="toc 10"/>
    <w:link w:val="Style_49_ch"/>
    <w:uiPriority w:val="39"/>
    <w:pPr>
      <w:ind w:firstLine="0" w:left="1800"/>
    </w:pPr>
  </w:style>
  <w:style w:styleId="Style_49_ch" w:type="character">
    <w:name w:val="toc 10"/>
    <w:link w:val="Style_49"/>
  </w:style>
  <w:style w:styleId="Style_50" w:type="paragraph">
    <w:name w:val="Основной текст + 9 pt;Полужирный;Интервал 0 pt"/>
    <w:basedOn w:val="Style_3"/>
    <w:link w:val="Style_50_ch"/>
    <w:rPr>
      <w:b w:val="1"/>
      <w:spacing w:val="0"/>
      <w:sz w:val="18"/>
    </w:rPr>
  </w:style>
  <w:style w:styleId="Style_50_ch" w:type="character">
    <w:name w:val="Основной текст + 9 pt;Полужирный;Интервал 0 pt"/>
    <w:basedOn w:val="Style_3_ch"/>
    <w:link w:val="Style_50"/>
    <w:rPr>
      <w:b w:val="1"/>
      <w:spacing w:val="0"/>
      <w:sz w:val="18"/>
    </w:rPr>
  </w:style>
  <w:style w:styleId="Style_7" w:type="paragraph">
    <w:name w:val="Заголовок №2"/>
    <w:basedOn w:val="Style_9"/>
    <w:link w:val="Style_7_ch"/>
    <w:pPr>
      <w:widowControl w:val="0"/>
      <w:spacing w:after="0" w:before="240" w:line="274" w:lineRule="exact"/>
      <w:ind/>
      <w:jc w:val="both"/>
      <w:outlineLvl w:val="1"/>
    </w:pPr>
    <w:rPr>
      <w:rFonts w:ascii="Times New Roman" w:hAnsi="Times New Roman"/>
      <w:b w:val="1"/>
      <w:spacing w:val="-1"/>
    </w:rPr>
  </w:style>
  <w:style w:styleId="Style_7_ch" w:type="character">
    <w:name w:val="Заголовок №2"/>
    <w:basedOn w:val="Style_9_ch"/>
    <w:link w:val="Style_7"/>
    <w:rPr>
      <w:rFonts w:ascii="Times New Roman" w:hAnsi="Times New Roman"/>
      <w:b w:val="1"/>
      <w:spacing w:val="-1"/>
    </w:rPr>
  </w:style>
  <w:style w:styleId="Style_51" w:type="paragraph">
    <w:name w:val="Title"/>
    <w:link w:val="Style_51_ch"/>
    <w:uiPriority w:val="10"/>
    <w:qFormat/>
    <w:rPr>
      <w:rFonts w:ascii="XO Thames" w:hAnsi="XO Thames"/>
      <w:b w:val="1"/>
      <w:sz w:val="52"/>
    </w:rPr>
  </w:style>
  <w:style w:styleId="Style_51_ch" w:type="character">
    <w:name w:val="Title"/>
    <w:link w:val="Style_51"/>
    <w:rPr>
      <w:rFonts w:ascii="XO Thames" w:hAnsi="XO Thames"/>
      <w:b w:val="1"/>
      <w:sz w:val="52"/>
    </w:rPr>
  </w:style>
  <w:style w:styleId="Style_52" w:type="paragraph">
    <w:name w:val="heading 4"/>
    <w:link w:val="Style_52_ch"/>
    <w:uiPriority w:val="9"/>
    <w:qFormat/>
    <w:pPr>
      <w:spacing w:after="120" w:before="120"/>
      <w:ind/>
      <w:outlineLvl w:val="3"/>
    </w:pPr>
    <w:rPr>
      <w:rFonts w:ascii="XO Thames" w:hAnsi="XO Thames"/>
      <w:b w:val="1"/>
      <w:color w:val="595959"/>
      <w:sz w:val="26"/>
    </w:rPr>
  </w:style>
  <w:style w:styleId="Style_52_ch" w:type="character">
    <w:name w:val="heading 4"/>
    <w:link w:val="Style_52"/>
    <w:rPr>
      <w:rFonts w:ascii="XO Thames" w:hAnsi="XO Thames"/>
      <w:b w:val="1"/>
      <w:color w:val="595959"/>
      <w:sz w:val="26"/>
    </w:rPr>
  </w:style>
  <w:style w:styleId="Style_53" w:type="paragraph">
    <w:name w:val="heading 2"/>
    <w:link w:val="Style_53_ch"/>
    <w:uiPriority w:val="9"/>
    <w:qFormat/>
    <w:pPr>
      <w:spacing w:after="120" w:before="120"/>
      <w:ind/>
      <w:outlineLvl w:val="1"/>
    </w:pPr>
    <w:rPr>
      <w:rFonts w:ascii="XO Thames" w:hAnsi="XO Thames"/>
      <w:b w:val="1"/>
      <w:color w:val="00A0FF"/>
      <w:sz w:val="26"/>
    </w:rPr>
  </w:style>
  <w:style w:styleId="Style_53_ch" w:type="character">
    <w:name w:val="heading 2"/>
    <w:link w:val="Style_53"/>
    <w:rPr>
      <w:rFonts w:ascii="XO Thames" w:hAnsi="XO Thames"/>
      <w:b w:val="1"/>
      <w:color w:val="00A0FF"/>
      <w:sz w:val="26"/>
    </w:rPr>
  </w:style>
  <w:style w:styleId="Style_54" w:type="paragraph">
    <w:name w:val="Default Paragraph Font"/>
    <w:link w:val="Style_54_ch"/>
  </w:style>
  <w:style w:styleId="Style_54_ch" w:type="character">
    <w:name w:val="Default Paragraph Font"/>
    <w:link w:val="Style_54"/>
  </w:style>
  <w:style w:styleId="Style_55" w:type="paragraph">
    <w:name w:val="Основной шрифт абзаца1"/>
    <w:link w:val="Style_55_ch"/>
  </w:style>
  <w:style w:styleId="Style_55_ch" w:type="character">
    <w:name w:val="Основной шрифт абзаца1"/>
    <w:link w:val="Style_55"/>
  </w:style>
  <w:style w:styleId="Style_56" w:type="table">
    <w:name w:val="Table Grid"/>
    <w:basedOn w:val="Style_57"/>
    <w:pPr>
      <w:spacing w:after="0" w:line="240" w:lineRule="auto"/>
      <w:ind/>
    </w:pPr>
    <w:rPr>
      <w:rFonts w:ascii="Calibri" w:hAnsi="Calibri"/>
      <w:sz w:val="20"/>
    </w:rPr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default="1" w:styleId="Style_57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8" Target="numbering.xml" Type="http://schemas.openxmlformats.org/officeDocument/2006/relationships/numbering"/>
  <Relationship Id="rId7" Target="theme/theme1.xml" Type="http://schemas.openxmlformats.org/officeDocument/2006/relationships/theme"/>
  <Relationship Id="rId6" Target="webSettings.xml" Type="http://schemas.openxmlformats.org/officeDocument/2006/relationships/webSettings"/>
  <Relationship Id="rId5" Target="stylesWithEffects.xml" Type="http://schemas.microsoft.com/office/2007/relationships/stylesWithEffects"/>
  <Relationship Id="rId4" Target="styles.xml" Type="http://schemas.openxmlformats.org/officeDocument/2006/relationships/style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%">
              <a:schemeClr val="phClr">
                <a:tint val="50%"/>
                <a:satMod val="300%"/>
              </a:schemeClr>
            </a:gs>
            <a:gs pos="35%">
              <a:schemeClr val="phClr">
                <a:tint val="37%"/>
                <a:satMod val="300%"/>
              </a:schemeClr>
            </a:gs>
            <a:gs pos="100%">
              <a:schemeClr val="phClr">
                <a:tint val="15%"/>
                <a:satMod val="350%"/>
              </a:schemeClr>
            </a:gs>
          </a:gsLst>
        </a:gradFill>
        <a:gradFill>
          <a:gsLst>
            <a:gs pos="0%">
              <a:schemeClr val="phClr">
                <a:shade val="51%"/>
                <a:satMod val="130%"/>
              </a:schemeClr>
            </a:gs>
            <a:gs pos="80%">
              <a:schemeClr val="phClr">
                <a:shade val="93%"/>
                <a:satMod val="130%"/>
              </a:schemeClr>
            </a:gs>
            <a:gs pos="100%">
              <a:schemeClr val="phClr">
                <a:shade val="94%"/>
                <a:satMod val="135%"/>
              </a:schemeClr>
            </a:gs>
          </a:gsLst>
        </a:gradFill>
      </a:fillStyleLst>
      <a:lnStyleLst>
        <a:ln w="9525">
          <a:solidFill>
            <a:schemeClr val="phClr">
              <a:shade val="95%"/>
              <a:satMod val="105%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%">
              <a:schemeClr val="phClr">
                <a:tint val="40%"/>
                <a:satMod val="350%"/>
              </a:schemeClr>
            </a:gs>
            <a:gs pos="40%">
              <a:schemeClr val="phClr">
                <a:tint val="45%"/>
                <a:shade val="99%"/>
                <a:satMod val="350%"/>
              </a:schemeClr>
            </a:gs>
            <a:gs pos="100%">
              <a:schemeClr val="phClr">
                <a:shade val="20%"/>
                <a:satMod val="255%"/>
              </a:schemeClr>
            </a:gs>
          </a:gsLst>
        </a:gradFill>
        <a:gradFill>
          <a:gsLst>
            <a:gs pos="0%">
              <a:schemeClr val="phClr">
                <a:tint val="80%"/>
                <a:satMod val="300%"/>
              </a:schemeClr>
            </a:gs>
            <a:gs pos="100%">
              <a:schemeClr val="phClr">
                <a:shade val="30%"/>
                <a:satMod val="200%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5</TotalTime>
  <DocSecurity>0</DocSecurity>
  <ScaleCrop>false</ScaleCrop>
  <Application>MyOffice-CoreFramework-Linux/13.0-597.96.2935.234.1@RELEASE-DESKTOP-MINT-ST-2</Application>
</Properties>
</file>